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rPr>
        <w:drawing>
          <wp:anchor distT="0" distB="0" distL="114300" distR="114300" simplePos="0" relativeHeight="252119552" behindDoc="1" locked="0" layoutInCell="1" allowOverlap="1" wp14:anchorId="3CC22DAB" wp14:editId="07B5C87C">
            <wp:simplePos x="0" y="0"/>
            <wp:positionH relativeFrom="page">
              <wp:align>left</wp:align>
            </wp:positionH>
            <wp:positionV relativeFrom="paragraph">
              <wp:posOffset>-1027652</wp:posOffset>
            </wp:positionV>
            <wp:extent cx="7819428" cy="10132037"/>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19428" cy="10132037"/>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A966F25"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311675">
        <w:rPr>
          <w:rFonts w:ascii="GalanoGrotesque-Black" w:hAnsi="GalanoGrotesque-Black"/>
        </w:rPr>
        <w:t>Proòlogo</w:t>
      </w:r>
      <w:r w:rsidR="00612CD8" w:rsidRPr="00BA025F">
        <w:tab/>
      </w:r>
      <w:r w:rsidR="00DF64CF">
        <w:t>2</w:t>
      </w:r>
    </w:p>
    <w:p w14:paraId="5E720819" w14:textId="6DD7ED92" w:rsidR="00311675" w:rsidRDefault="00311675" w:rsidP="00311675">
      <w:pPr>
        <w:pStyle w:val="TDC1"/>
      </w:pPr>
      <w:r>
        <w:rPr>
          <w:rFonts w:ascii="GalanoGrotesque-Black" w:hAnsi="GalanoGrotesque-Black"/>
        </w:rPr>
        <w:t>Panorama eonómico global</w:t>
      </w:r>
      <w:r w:rsidRPr="00BA025F">
        <w:tab/>
      </w:r>
      <w:r>
        <w:t>10</w:t>
      </w:r>
    </w:p>
    <w:p w14:paraId="119CC4BC" w14:textId="4F72013B" w:rsidR="00DF64CF" w:rsidRDefault="00DF64CF" w:rsidP="00DF64CF">
      <w:pPr>
        <w:pStyle w:val="TDC1"/>
      </w:pPr>
      <w:r>
        <w:rPr>
          <w:rFonts w:ascii="GalanoGrotesque-Black" w:hAnsi="GalanoGrotesque-Black"/>
        </w:rPr>
        <w:t>Indicadores de postura fiscal</w:t>
      </w:r>
      <w:r w:rsidRPr="00BA025F">
        <w:tab/>
      </w:r>
      <w:r w:rsidR="00311675">
        <w:t>15</w:t>
      </w:r>
    </w:p>
    <w:p w14:paraId="4634247A" w14:textId="3756C5E1" w:rsidR="00DF64CF" w:rsidRDefault="00DF64CF" w:rsidP="00DF64CF">
      <w:pPr>
        <w:pStyle w:val="TDC1"/>
      </w:pPr>
      <w:r>
        <w:rPr>
          <w:rFonts w:ascii="GalanoGrotesque-Black" w:hAnsi="GalanoGrotesque-Black"/>
        </w:rPr>
        <w:t>Comportamiento de la deuda pública</w:t>
      </w:r>
      <w:r w:rsidRPr="00BA025F">
        <w:tab/>
      </w:r>
      <w:r w:rsidR="00311675">
        <w:t>17</w:t>
      </w:r>
    </w:p>
    <w:p w14:paraId="596839C6" w14:textId="3D889783" w:rsidR="00DF64CF" w:rsidRDefault="00DF64CF" w:rsidP="00DF64CF">
      <w:pPr>
        <w:pStyle w:val="TDC1"/>
      </w:pPr>
      <w:r>
        <w:rPr>
          <w:rFonts w:ascii="GalanoGrotesque-Black" w:hAnsi="GalanoGrotesque-Black"/>
        </w:rPr>
        <w:t>Comportamiento de los ingresos</w:t>
      </w:r>
      <w:r w:rsidRPr="00BA025F">
        <w:tab/>
      </w:r>
      <w:r w:rsidR="00311675">
        <w:t>21</w:t>
      </w:r>
    </w:p>
    <w:p w14:paraId="0E7D4650" w14:textId="1EE647E6" w:rsidR="00DF64CF" w:rsidRDefault="00DF64CF" w:rsidP="00DF64CF">
      <w:pPr>
        <w:pStyle w:val="TDC1"/>
      </w:pPr>
      <w:r>
        <w:rPr>
          <w:rFonts w:ascii="GalanoGrotesque-Black" w:hAnsi="GalanoGrotesque-Black"/>
        </w:rPr>
        <w:t>Comportamiento del gasto público</w:t>
      </w:r>
      <w:r w:rsidRPr="00BA025F">
        <w:tab/>
      </w:r>
      <w:r w:rsidR="00311675">
        <w:t>26</w:t>
      </w:r>
    </w:p>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3ABE6306" w14:textId="348781F7" w:rsidR="00311675" w:rsidRDefault="00311675" w:rsidP="0028137C">
      <w:r>
        <w:rPr>
          <w:noProof/>
          <w:color w:val="864A04" w:themeColor="accent2" w:themeShade="80"/>
        </w:rPr>
        <w:drawing>
          <wp:anchor distT="0" distB="0" distL="114300" distR="114300" simplePos="0" relativeHeight="252121600" behindDoc="1" locked="0" layoutInCell="1" allowOverlap="1" wp14:anchorId="4D91A657" wp14:editId="1F521ABA">
            <wp:simplePos x="0" y="0"/>
            <wp:positionH relativeFrom="margin">
              <wp:align>right</wp:align>
            </wp:positionH>
            <wp:positionV relativeFrom="paragraph">
              <wp:posOffset>-4003</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33EC4CA" w14:textId="77777777" w:rsidR="0028137C" w:rsidRDefault="0028137C" w:rsidP="0028137C"/>
    <w:p w14:paraId="75D2F8B3" w14:textId="77777777" w:rsidR="0028137C" w:rsidRDefault="0028137C" w:rsidP="0028137C"/>
    <w:p w14:paraId="2E11E2CE" w14:textId="77777777" w:rsidR="0028137C" w:rsidRDefault="0028137C" w:rsidP="0028137C"/>
    <w:p w14:paraId="72D8C410" w14:textId="77777777"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4A5527B0" w14:textId="77777777" w:rsidR="00311675" w:rsidRDefault="00311675" w:rsidP="00311675">
      <w:r>
        <w:lastRenderedPageBreak/>
        <w:t>A nombre del Titular del Poder Ejecutivo del Estado de Michoacán de Ocampo, la Secretaría de Finanzas y Administración hace entrega a la LXXV Legislatura del H. Congreso la Cuenta Pública de la Hacienda Estatal correspondiente al ejercicio fiscal 2022.</w:t>
      </w:r>
    </w:p>
    <w:p w14:paraId="3FE06048" w14:textId="77777777" w:rsidR="00311675" w:rsidRDefault="00311675" w:rsidP="00311675"/>
    <w:p w14:paraId="1DDA7FBA" w14:textId="77777777" w:rsidR="00311675" w:rsidRDefault="00311675" w:rsidP="00311675">
      <w: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6262C6AE" w14:textId="77777777" w:rsidR="00311675" w:rsidRDefault="00311675" w:rsidP="00311675"/>
    <w:p w14:paraId="026CDF53" w14:textId="77777777" w:rsidR="00311675" w:rsidRDefault="00311675" w:rsidP="00311675">
      <w:r>
        <w:t>La información contenida en este informe atiende a lo dispuesto por los siguientes ordenamientos:</w:t>
      </w:r>
    </w:p>
    <w:p w14:paraId="25C02C06" w14:textId="77777777" w:rsidR="00311675" w:rsidRDefault="00311675" w:rsidP="00311675"/>
    <w:p w14:paraId="5865B6DA" w14:textId="77777777" w:rsidR="00311675" w:rsidRDefault="00311675" w:rsidP="00311675">
      <w:r>
        <w:t>· Artículos 52, 53 y 54 de la Ley General de Contabilidad Gubernamental, la cual establece los criterios generales de Responsabilidad Hacendaria y Financiera que rigen al Estado y los Municipios, así como a sus respectivos Entes Públicos.</w:t>
      </w:r>
    </w:p>
    <w:p w14:paraId="51249D6A" w14:textId="77777777" w:rsidR="00311675" w:rsidRDefault="00311675" w:rsidP="00311675"/>
    <w:p w14:paraId="04B7CBA5" w14:textId="77777777" w:rsidR="00311675" w:rsidRDefault="00311675" w:rsidP="00311675">
      <w:r>
        <w:t>· Ley de Planeación Hacendaria, Presupuesto, Gasto Público y Contabilidad Gubernamental del Estado de Michoacán de Ocampo.</w:t>
      </w:r>
    </w:p>
    <w:p w14:paraId="1A0C2E25" w14:textId="77777777" w:rsidR="00311675" w:rsidRDefault="00311675" w:rsidP="00311675"/>
    <w:p w14:paraId="6052F391" w14:textId="77777777" w:rsidR="00311675" w:rsidRDefault="00311675" w:rsidP="00311675">
      <w:r>
        <w:lastRenderedPageBreak/>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6956EF5E" w14:textId="77777777" w:rsidR="00311675" w:rsidRDefault="00311675" w:rsidP="00311675"/>
    <w:p w14:paraId="4729E65A" w14:textId="77777777" w:rsidR="00311675" w:rsidRDefault="00311675" w:rsidP="00311675">
      <w:r>
        <w:t>·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28 de julio de 2021.</w:t>
      </w:r>
    </w:p>
    <w:p w14:paraId="2D76F88B" w14:textId="77777777" w:rsidR="00311675" w:rsidRDefault="00311675" w:rsidP="00311675"/>
    <w:p w14:paraId="4829AAE9" w14:textId="77777777" w:rsidR="00311675" w:rsidRDefault="00311675" w:rsidP="00311675">
      <w:r>
        <w:t>Para efectos de la formulación de los estados financieros que se consolidan son los siguientes:</w:t>
      </w:r>
    </w:p>
    <w:p w14:paraId="018E9240" w14:textId="77777777" w:rsidR="00311675" w:rsidRDefault="00311675" w:rsidP="00311675">
      <w:r>
        <w:t>· Estado de Situación Financiera</w:t>
      </w:r>
    </w:p>
    <w:p w14:paraId="558D606A" w14:textId="77777777" w:rsidR="00311675" w:rsidRDefault="00311675" w:rsidP="00311675">
      <w:r>
        <w:t>· Estado de Actividades</w:t>
      </w:r>
    </w:p>
    <w:p w14:paraId="2BB8A112" w14:textId="77777777" w:rsidR="00311675" w:rsidRDefault="00311675" w:rsidP="00311675">
      <w:r>
        <w:t>· Estado de Variación en la Hacienda Pública</w:t>
      </w:r>
    </w:p>
    <w:p w14:paraId="6507F752" w14:textId="77777777" w:rsidR="00311675" w:rsidRDefault="00311675" w:rsidP="00311675">
      <w:r>
        <w:t>· Estado de Cambios en la Situación Financiera</w:t>
      </w:r>
    </w:p>
    <w:p w14:paraId="7DA7DF13" w14:textId="77777777" w:rsidR="00311675" w:rsidRDefault="00311675" w:rsidP="00311675">
      <w:r>
        <w:t>· Estado de Flujo de Efectivo</w:t>
      </w:r>
    </w:p>
    <w:p w14:paraId="2C25D763" w14:textId="77777777" w:rsidR="00311675" w:rsidRDefault="00311675" w:rsidP="00311675"/>
    <w:p w14:paraId="42C4B1A1" w14:textId="77777777" w:rsidR="00311675" w:rsidRDefault="00311675" w:rsidP="00311675">
      <w:r>
        <w:t>Por lo cual, la información que se presenta, se encuentra clasificada de la siguiente forma:</w:t>
      </w:r>
    </w:p>
    <w:p w14:paraId="0EDF3DF7" w14:textId="77777777" w:rsidR="00311675" w:rsidRDefault="00311675" w:rsidP="00311675"/>
    <w:p w14:paraId="2558E35B" w14:textId="77777777" w:rsidR="00311675" w:rsidRDefault="00311675" w:rsidP="00311675">
      <w:r>
        <w:lastRenderedPageBreak/>
        <w:t>· Información Contable, que contiene el Estado de Situación Financiera, Estado de Actividades, Estado de Variación en la Hacienda Pública, Estado de Cambios en la Situación Financiera y el Flujo de Efectivo, Información Presupuestaria, Información Programática y Anexos.</w:t>
      </w:r>
    </w:p>
    <w:p w14:paraId="5E16DD7E" w14:textId="77777777" w:rsidR="00311675" w:rsidRDefault="00311675" w:rsidP="00311675"/>
    <w:p w14:paraId="2E3C16E5" w14:textId="77777777" w:rsidR="00311675" w:rsidRDefault="00311675" w:rsidP="00311675">
      <w:r>
        <w:t>· Formatos de la Ley de Disciplina Financiera.</w:t>
      </w:r>
    </w:p>
    <w:p w14:paraId="52472D27" w14:textId="77777777" w:rsidR="00311675" w:rsidRDefault="00311675" w:rsidP="00311675"/>
    <w:p w14:paraId="0F9C0278" w14:textId="77777777" w:rsidR="00311675" w:rsidRDefault="00311675" w:rsidP="00311675">
      <w:r>
        <w:t>Así mismo, el Gobierno del Estado se ha dado a la tarea de hacer la consolidación de la información financiera presentada por los Entes de la Administración Pública Estatal, incluyendo los Poderes Ejecutivo, Legislativo y Judicial, Organismos Autónomos.</w:t>
      </w:r>
    </w:p>
    <w:p w14:paraId="6F176C24" w14:textId="77777777" w:rsidR="00311675" w:rsidRDefault="00311675" w:rsidP="00311675"/>
    <w:p w14:paraId="709C83E8" w14:textId="77777777" w:rsidR="00311675" w:rsidRDefault="00311675" w:rsidP="00311675">
      <w:r>
        <w:t>A continuación, se detalla el contenido y estructura del informe de la Cuenta Pública.</w:t>
      </w:r>
    </w:p>
    <w:p w14:paraId="3F7D4B99" w14:textId="77777777" w:rsidR="00311675" w:rsidRDefault="00311675" w:rsidP="00311675">
      <w:r>
        <w:t>Tomo I Resultados Generales</w:t>
      </w:r>
    </w:p>
    <w:p w14:paraId="44CA1136" w14:textId="77777777" w:rsidR="00311675" w:rsidRDefault="00311675" w:rsidP="00311675"/>
    <w:p w14:paraId="17031C49" w14:textId="77777777" w:rsidR="00311675" w:rsidRDefault="00311675" w:rsidP="00311675">
      <w:r>
        <w:t>Presenta los Indicadores de Postura Fiscal y el panorama global, nacional y local que así como la gestión gubernamental y el comportamiento de ingresos, egresos y deuda pública.</w:t>
      </w:r>
    </w:p>
    <w:p w14:paraId="6D60E3EC" w14:textId="77777777" w:rsidR="00311675" w:rsidRDefault="00311675" w:rsidP="00311675"/>
    <w:p w14:paraId="3914D8E9" w14:textId="77777777" w:rsidR="00311675" w:rsidRDefault="00311675" w:rsidP="00311675">
      <w:r>
        <w:t>Tomo II Consolidación de la Cuenta Pública</w:t>
      </w:r>
    </w:p>
    <w:p w14:paraId="6FD22601" w14:textId="77777777" w:rsidR="00311675" w:rsidRDefault="00311675" w:rsidP="00311675"/>
    <w:p w14:paraId="6C08D984" w14:textId="77777777" w:rsidR="00311675" w:rsidRDefault="00311675" w:rsidP="00311675">
      <w:r>
        <w:lastRenderedPageBreak/>
        <w:t>Presenta información contable consolidada de los entes públicos del Gobierno del Estado de Michoacán:</w:t>
      </w:r>
    </w:p>
    <w:p w14:paraId="2A8D7F30" w14:textId="77777777" w:rsidR="00311675" w:rsidRDefault="00311675" w:rsidP="00311675"/>
    <w:p w14:paraId="11550D03" w14:textId="77777777" w:rsidR="00311675" w:rsidRDefault="00311675" w:rsidP="00311675">
      <w:r>
        <w:t>Ø Poder Ejecutivo del Estado de Michoacán.</w:t>
      </w:r>
    </w:p>
    <w:p w14:paraId="06E0E4E4" w14:textId="77777777" w:rsidR="00311675" w:rsidRDefault="00311675" w:rsidP="00311675"/>
    <w:p w14:paraId="7CB9A629" w14:textId="77777777" w:rsidR="00311675" w:rsidRDefault="00311675" w:rsidP="00311675">
      <w:r>
        <w:t>Ø Poder Legislativo del Estado de Michoacán.</w:t>
      </w:r>
    </w:p>
    <w:p w14:paraId="792880F5" w14:textId="77777777" w:rsidR="00311675" w:rsidRDefault="00311675" w:rsidP="00311675"/>
    <w:p w14:paraId="21E81FD5" w14:textId="77777777" w:rsidR="00311675" w:rsidRDefault="00311675" w:rsidP="00311675">
      <w:r>
        <w:t>Ø Poder Judicial del Estado de Michoacán.</w:t>
      </w:r>
    </w:p>
    <w:p w14:paraId="6119E659" w14:textId="77777777" w:rsidR="00311675" w:rsidRDefault="00311675" w:rsidP="00311675"/>
    <w:p w14:paraId="39A6D879" w14:textId="77777777" w:rsidR="00311675" w:rsidRDefault="00311675" w:rsidP="00311675">
      <w:r>
        <w:t>Ø Órganos Autónomos del Estado de Michoacán.</w:t>
      </w:r>
    </w:p>
    <w:p w14:paraId="50CB6243" w14:textId="77777777" w:rsidR="00311675" w:rsidRDefault="00311675" w:rsidP="00311675"/>
    <w:p w14:paraId="2585890C" w14:textId="77777777" w:rsidR="00311675" w:rsidRDefault="00311675" w:rsidP="00311675">
      <w:r>
        <w:t>TOMO III Poder Ejecutivo</w:t>
      </w:r>
    </w:p>
    <w:p w14:paraId="0EE749A2" w14:textId="77777777" w:rsidR="00311675" w:rsidRDefault="00311675" w:rsidP="00311675"/>
    <w:p w14:paraId="5A008F23" w14:textId="77777777" w:rsidR="00311675" w:rsidRDefault="00311675" w:rsidP="00311675">
      <w: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62800FE6" w14:textId="77777777" w:rsidR="00311675" w:rsidRDefault="00311675" w:rsidP="00311675"/>
    <w:p w14:paraId="65EED0C1" w14:textId="77777777" w:rsidR="00311675" w:rsidRDefault="00311675" w:rsidP="00311675">
      <w:r>
        <w:t>TOMO IV Poder Legislativo</w:t>
      </w:r>
    </w:p>
    <w:p w14:paraId="15CB7307" w14:textId="77777777" w:rsidR="00311675" w:rsidRDefault="00311675" w:rsidP="00311675"/>
    <w:p w14:paraId="39089123" w14:textId="77777777" w:rsidR="00311675" w:rsidRDefault="00311675" w:rsidP="00311675">
      <w:r>
        <w:lastRenderedPageBreak/>
        <w:t>Presenta información contable, presupuestaria, programática y adicionalmente anexos previstos en la Ley General de Contabilidad Gubernamental y de la Ley de Disciplina Financiera de las Entidades Federativas y los Municipios.</w:t>
      </w:r>
    </w:p>
    <w:p w14:paraId="18B4AB08" w14:textId="77777777" w:rsidR="00311675" w:rsidRDefault="00311675" w:rsidP="00311675"/>
    <w:p w14:paraId="6612180A" w14:textId="77777777" w:rsidR="00311675" w:rsidRDefault="00311675" w:rsidP="00311675">
      <w:r>
        <w:t>TOMO V Poder Judicial</w:t>
      </w:r>
    </w:p>
    <w:p w14:paraId="5F311212" w14:textId="77777777" w:rsidR="00311675" w:rsidRDefault="00311675" w:rsidP="00311675"/>
    <w:p w14:paraId="788F1F97" w14:textId="77777777" w:rsidR="00311675" w:rsidRDefault="00311675" w:rsidP="00311675">
      <w:r>
        <w:t>Presenta información contable, presupuestaria, programática y adicionalmente anexos previstos en la Ley General de Contabilidad Gubernamental y de la Ley de Disciplina Financiera de las Entidades Federativas y los Municipios.</w:t>
      </w:r>
    </w:p>
    <w:p w14:paraId="25BBE901" w14:textId="77777777" w:rsidR="00311675" w:rsidRDefault="00311675" w:rsidP="00311675"/>
    <w:p w14:paraId="34E69CA9" w14:textId="77777777" w:rsidR="00311675" w:rsidRDefault="00311675" w:rsidP="00311675">
      <w:r>
        <w:t>TOMO VI Órganos Autónomos</w:t>
      </w:r>
    </w:p>
    <w:p w14:paraId="0E14DC4F" w14:textId="77777777" w:rsidR="00311675" w:rsidRDefault="00311675" w:rsidP="00311675"/>
    <w:p w14:paraId="51547F2A" w14:textId="77777777" w:rsidR="00311675" w:rsidRDefault="00311675" w:rsidP="00311675">
      <w: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319F5E80" w14:textId="77777777" w:rsidR="00311675" w:rsidRDefault="00311675" w:rsidP="00311675"/>
    <w:p w14:paraId="49F93216" w14:textId="77777777" w:rsidR="00311675" w:rsidRDefault="00311675" w:rsidP="00311675">
      <w:r>
        <w:t>•</w:t>
      </w:r>
      <w:r>
        <w:tab/>
        <w:t>Universidad Michoacana de San Nicolás de Hidalgo.</w:t>
      </w:r>
    </w:p>
    <w:p w14:paraId="78034ACF" w14:textId="77777777" w:rsidR="00311675" w:rsidRDefault="00311675" w:rsidP="00311675"/>
    <w:p w14:paraId="3159D8B8" w14:textId="77777777" w:rsidR="00311675" w:rsidRDefault="00311675" w:rsidP="00311675">
      <w:r>
        <w:t>•</w:t>
      </w:r>
      <w:r>
        <w:tab/>
        <w:t>Instituto Electoral del Estado de Michoacán.</w:t>
      </w:r>
    </w:p>
    <w:p w14:paraId="5EDBC583" w14:textId="77777777" w:rsidR="00311675" w:rsidRDefault="00311675" w:rsidP="00311675"/>
    <w:p w14:paraId="3035150C" w14:textId="77777777" w:rsidR="00311675" w:rsidRDefault="00311675" w:rsidP="00311675">
      <w:r>
        <w:lastRenderedPageBreak/>
        <w:t>•</w:t>
      </w:r>
      <w:r>
        <w:tab/>
        <w:t>Tribunal Electoral del Estado de Michoacán.</w:t>
      </w:r>
    </w:p>
    <w:p w14:paraId="7F753AC2" w14:textId="77777777" w:rsidR="00311675" w:rsidRDefault="00311675" w:rsidP="00311675"/>
    <w:p w14:paraId="4F5C16AB" w14:textId="77777777" w:rsidR="00311675" w:rsidRDefault="00311675" w:rsidP="00311675">
      <w:r>
        <w:t>•</w:t>
      </w:r>
      <w:r>
        <w:tab/>
        <w:t>Tribunal de Justicia Administrativa de Michoacán de Ocampo.</w:t>
      </w:r>
    </w:p>
    <w:p w14:paraId="1ADE7112" w14:textId="77777777" w:rsidR="00311675" w:rsidRDefault="00311675" w:rsidP="00311675"/>
    <w:p w14:paraId="62A475EF" w14:textId="77777777" w:rsidR="00311675" w:rsidRDefault="00311675" w:rsidP="00311675">
      <w:r>
        <w:t>•</w:t>
      </w:r>
      <w:r>
        <w:tab/>
        <w:t>Comisión Estatal de los Derechos Humanos, Michoacán.</w:t>
      </w:r>
    </w:p>
    <w:p w14:paraId="5A4D4D14" w14:textId="77777777" w:rsidR="00311675" w:rsidRDefault="00311675" w:rsidP="00311675"/>
    <w:p w14:paraId="6292F0C0" w14:textId="77777777" w:rsidR="00311675" w:rsidRDefault="00311675" w:rsidP="00311675">
      <w:r>
        <w:t>•</w:t>
      </w:r>
      <w:r>
        <w:tab/>
        <w:t>Instituto Michoacano de Transparencia, Acceso a la Información y Protección de Datos Personales.</w:t>
      </w:r>
    </w:p>
    <w:p w14:paraId="3A2AD296" w14:textId="77777777" w:rsidR="00311675" w:rsidRDefault="00311675" w:rsidP="00311675"/>
    <w:p w14:paraId="17DDA05B" w14:textId="77777777" w:rsidR="00311675" w:rsidRDefault="00311675" w:rsidP="00311675">
      <w:r>
        <w:t>•</w:t>
      </w:r>
      <w:r>
        <w:tab/>
        <w:t>Fiscalía General del Estado de Michoacán.</w:t>
      </w:r>
    </w:p>
    <w:p w14:paraId="2C5D910F" w14:textId="77777777" w:rsidR="00311675" w:rsidRDefault="00311675" w:rsidP="00311675"/>
    <w:p w14:paraId="1C92C9AA" w14:textId="77777777" w:rsidR="00311675" w:rsidRDefault="00311675" w:rsidP="00311675"/>
    <w:p w14:paraId="464F30BC" w14:textId="77777777" w:rsidR="00311675" w:rsidRDefault="00311675" w:rsidP="00311675"/>
    <w:p w14:paraId="670D7C0E" w14:textId="77777777" w:rsidR="00311675" w:rsidRDefault="00311675" w:rsidP="00311675">
      <w:r>
        <w:t>TOMO VII Órganos Autónomos</w:t>
      </w:r>
    </w:p>
    <w:p w14:paraId="0B5D042C" w14:textId="77777777" w:rsidR="00311675" w:rsidRDefault="00311675" w:rsidP="00311675"/>
    <w:p w14:paraId="0A75D2B8" w14:textId="77777777" w:rsidR="00311675" w:rsidRDefault="00311675" w:rsidP="00311675">
      <w:r>
        <w:t>Se presenta información Contable, Presupuestal y Programática, así como anexos previstos en la Ley General de Contabilidad Gubernamental y de la Ley de Disciplina Financiera de las Entidades Federativas de los Organismos Públicos Descentralizados.</w:t>
      </w:r>
    </w:p>
    <w:p w14:paraId="6521A24D" w14:textId="77777777" w:rsidR="00311675" w:rsidRDefault="00311675" w:rsidP="00311675"/>
    <w:p w14:paraId="565C4C6C" w14:textId="77777777" w:rsidR="00311675" w:rsidRDefault="00311675" w:rsidP="00311675">
      <w:r>
        <w:t xml:space="preserve">Es importante destacar el cumplimiento de todos los Poderes, Órganos Autónomos y Organismos Públicos Descentralizados para la integración de esta Cuenta Pública </w:t>
      </w:r>
      <w:r>
        <w:lastRenderedPageBreak/>
        <w:t>Estatal 2021,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2DECAD04" w14:textId="77777777" w:rsidR="00311675" w:rsidRDefault="00311675" w:rsidP="00311675"/>
    <w:p w14:paraId="42268FF5" w14:textId="6BB64DDD" w:rsidR="0028137C" w:rsidRDefault="00311675" w:rsidP="00311675">
      <w: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7164BBC2" w14:textId="77777777" w:rsidR="0028137C" w:rsidRDefault="0028137C" w:rsidP="0028137C"/>
    <w:p w14:paraId="209520BD" w14:textId="77777777" w:rsidR="0028137C" w:rsidRDefault="0028137C" w:rsidP="0028137C"/>
    <w:p w14:paraId="21CF0DA2" w14:textId="77777777" w:rsidR="0028137C" w:rsidRDefault="0028137C" w:rsidP="0028137C"/>
    <w:p w14:paraId="21E526EC" w14:textId="77777777" w:rsidR="0028137C" w:rsidRDefault="0028137C" w:rsidP="0028137C"/>
    <w:p w14:paraId="43BED8A2" w14:textId="77777777" w:rsidR="0028137C" w:rsidRDefault="0028137C" w:rsidP="0028137C"/>
    <w:p w14:paraId="129FEEBB" w14:textId="77777777" w:rsidR="0028137C" w:rsidRDefault="0028137C" w:rsidP="0028137C"/>
    <w:p w14:paraId="48CAFF23" w14:textId="185BB93E" w:rsidR="0028137C" w:rsidRPr="0028137C" w:rsidRDefault="0028137C" w:rsidP="0028137C">
      <w:pPr>
        <w:jc w:val="center"/>
      </w:pPr>
      <w:r>
        <w:rPr>
          <w:noProof/>
        </w:rPr>
        <w:lastRenderedPageBreak/>
        <w:drawing>
          <wp:inline distT="0" distB="0" distL="0" distR="0" wp14:anchorId="0A9DBB83" wp14:editId="335B97FE">
            <wp:extent cx="5740842" cy="5740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414" cy="5749414"/>
                    </a:xfrm>
                    <a:prstGeom prst="rect">
                      <a:avLst/>
                    </a:prstGeom>
                    <a:noFill/>
                    <a:ln>
                      <a:noFill/>
                    </a:ln>
                  </pic:spPr>
                </pic:pic>
              </a:graphicData>
            </a:graphic>
          </wp:inline>
        </w:drawing>
      </w:r>
    </w:p>
    <w:p w14:paraId="4534B6FB" w14:textId="77777777" w:rsidR="00CE20C5" w:rsidRDefault="00CE20C5" w:rsidP="00D9657D">
      <w:pPr>
        <w:rPr>
          <w:rFonts w:ascii="GalanoGrotesque-Bold" w:eastAsiaTheme="majorEastAsia" w:hAnsi="GalanoGrotesque-Bold" w:cstheme="majorBidi"/>
          <w:color w:val="000000" w:themeColor="text1"/>
        </w:rPr>
      </w:pPr>
    </w:p>
    <w:p w14:paraId="304B8DA9" w14:textId="3586DC7D" w:rsidR="00951AA4" w:rsidRDefault="00951AA4" w:rsidP="00F35216">
      <w:pPr>
        <w:rPr>
          <w:rFonts w:ascii="GalanoGrotesque-Bold" w:hAnsi="GalanoGrotesque-Bold"/>
          <w:sz w:val="44"/>
        </w:rPr>
      </w:pPr>
    </w:p>
    <w:p w14:paraId="5CA51B86" w14:textId="77777777" w:rsidR="0028137C" w:rsidRDefault="0028137C" w:rsidP="000A0A97">
      <w:pPr>
        <w:rPr>
          <w:rFonts w:ascii="GalanoGrotesque-Bold" w:eastAsiaTheme="majorEastAsia" w:hAnsi="GalanoGrotesque-Bold" w:cstheme="majorBidi"/>
          <w:noProof/>
          <w:color w:val="000000" w:themeColor="text1"/>
          <w:sz w:val="36"/>
        </w:rPr>
      </w:pPr>
    </w:p>
    <w:p w14:paraId="1A60225C" w14:textId="77777777" w:rsidR="00311675" w:rsidRDefault="00311675" w:rsidP="000A0A97">
      <w:pPr>
        <w:rPr>
          <w:rFonts w:ascii="GalanoGrotesque-Bold" w:eastAsiaTheme="majorEastAsia" w:hAnsi="GalanoGrotesque-Bold" w:cstheme="majorBidi"/>
          <w:noProof/>
          <w:color w:val="000000" w:themeColor="text1"/>
          <w:sz w:val="36"/>
        </w:rPr>
      </w:pPr>
    </w:p>
    <w:p w14:paraId="717168B4" w14:textId="77777777" w:rsidR="00311675" w:rsidRDefault="00311675" w:rsidP="000A0A97">
      <w:pPr>
        <w:rPr>
          <w:rFonts w:ascii="GalanoGrotesque-Bold" w:eastAsiaTheme="majorEastAsia" w:hAnsi="GalanoGrotesque-Bold" w:cstheme="majorBidi"/>
          <w:noProof/>
          <w:color w:val="000000" w:themeColor="text1"/>
          <w:sz w:val="36"/>
        </w:rPr>
      </w:pPr>
    </w:p>
    <w:p w14:paraId="1844A113" w14:textId="7291C0FA" w:rsidR="004F0409" w:rsidRDefault="004F0409" w:rsidP="000A0A97">
      <w:pPr>
        <w:rPr>
          <w:rFonts w:ascii="GalanoGrotesque-Bold" w:eastAsiaTheme="majorEastAsia" w:hAnsi="GalanoGrotesque-Bold" w:cstheme="majorBidi"/>
          <w:noProof/>
          <w:color w:val="000000" w:themeColor="text1"/>
          <w:sz w:val="36"/>
        </w:rPr>
      </w:pPr>
      <w:r>
        <w:rPr>
          <w:rFonts w:ascii="GalanoGrotesque-Bold" w:eastAsiaTheme="majorEastAsia" w:hAnsi="GalanoGrotesque-Bold" w:cstheme="majorBidi"/>
          <w:noProof/>
          <w:color w:val="000000" w:themeColor="text1"/>
          <w:sz w:val="36"/>
        </w:rPr>
        <w:lastRenderedPageBreak/>
        <w:t>Panorama Económico</w:t>
      </w:r>
      <w:r w:rsidR="0028137C">
        <w:rPr>
          <w:rFonts w:ascii="GalanoGrotesque-Bold" w:eastAsiaTheme="majorEastAsia" w:hAnsi="GalanoGrotesque-Bold" w:cstheme="majorBidi"/>
          <w:noProof/>
          <w:color w:val="000000" w:themeColor="text1"/>
          <w:sz w:val="36"/>
        </w:rPr>
        <w:t xml:space="preserve"> Global</w:t>
      </w:r>
      <w:r>
        <w:rPr>
          <w:rFonts w:ascii="GalanoGrotesque-Bold" w:eastAsiaTheme="majorEastAsia" w:hAnsi="GalanoGrotesque-Bold" w:cstheme="majorBidi"/>
          <w:noProof/>
          <w:color w:val="000000" w:themeColor="text1"/>
          <w:sz w:val="36"/>
        </w:rPr>
        <w:t>:</w:t>
      </w:r>
    </w:p>
    <w:p w14:paraId="17EC4D08" w14:textId="77777777" w:rsidR="004F0409" w:rsidRDefault="004F0409" w:rsidP="000A0A97">
      <w:pPr>
        <w:rPr>
          <w:rFonts w:ascii="GalanoGrotesque-Bold" w:eastAsiaTheme="majorEastAsia" w:hAnsi="GalanoGrotesque-Bold" w:cstheme="majorBidi"/>
          <w:noProof/>
          <w:color w:val="000000" w:themeColor="text1"/>
          <w:sz w:val="36"/>
        </w:rPr>
      </w:pPr>
    </w:p>
    <w:p w14:paraId="224CB5FD" w14:textId="77777777" w:rsidR="004F0409" w:rsidRDefault="004F0409" w:rsidP="000A0A97">
      <w:pPr>
        <w:rPr>
          <w:rFonts w:ascii="GalanoGrotesque-Bold" w:eastAsiaTheme="majorEastAsia" w:hAnsi="GalanoGrotesque-Bold" w:cstheme="majorBidi"/>
          <w:noProof/>
          <w:color w:val="000000" w:themeColor="text1"/>
          <w:sz w:val="22"/>
          <w:szCs w:val="22"/>
        </w:rPr>
      </w:pPr>
      <w:r>
        <w:rPr>
          <w:rFonts w:ascii="GalanoGrotesque-Bold" w:eastAsiaTheme="majorEastAsia" w:hAnsi="GalanoGrotesque-Bold" w:cstheme="majorBidi"/>
          <w:noProof/>
          <w:color w:val="000000" w:themeColor="text1"/>
          <w:sz w:val="22"/>
          <w:szCs w:val="22"/>
        </w:rPr>
        <w:t>De conformidad con el informe del tercer trimestre, emitido por BANXICO el 30 de noviembre de 2022, las consecuencias de la Pandemia del SARs COVID-19, así como los conflictos armados entre Rusia y Ucrania han generado un panorama global desfavorable en cuanto al crecimiento económico, debido a la lenta recuperación de algunos sectores y a la interrupción en la cadena de suministros.</w:t>
      </w:r>
    </w:p>
    <w:p w14:paraId="1B2647F3" w14:textId="77777777" w:rsidR="004F0409" w:rsidRDefault="004F0409" w:rsidP="000A0A97">
      <w:pPr>
        <w:rPr>
          <w:rFonts w:ascii="GalanoGrotesque-Bold" w:eastAsiaTheme="majorEastAsia" w:hAnsi="GalanoGrotesque-Bold" w:cstheme="majorBidi"/>
          <w:noProof/>
          <w:color w:val="000000" w:themeColor="text1"/>
          <w:sz w:val="22"/>
          <w:szCs w:val="22"/>
        </w:rPr>
      </w:pPr>
    </w:p>
    <w:p w14:paraId="01FB6388" w14:textId="77777777" w:rsidR="00903F40" w:rsidRDefault="00875DCE" w:rsidP="000A0A97">
      <w:pPr>
        <w:rPr>
          <w:rFonts w:ascii="GalanoGrotesque-Bold" w:eastAsiaTheme="majorEastAsia" w:hAnsi="GalanoGrotesque-Bold" w:cstheme="majorBidi"/>
          <w:noProof/>
          <w:color w:val="000000" w:themeColor="text1"/>
          <w:sz w:val="22"/>
          <w:szCs w:val="22"/>
        </w:rPr>
      </w:pPr>
      <w:r>
        <w:rPr>
          <w:rFonts w:ascii="GalanoGrotesque-Bold" w:eastAsiaTheme="majorEastAsia" w:hAnsi="GalanoGrotesque-Bold" w:cstheme="majorBidi"/>
          <w:noProof/>
          <w:color w:val="000000" w:themeColor="text1"/>
          <w:sz w:val="22"/>
          <w:szCs w:val="22"/>
        </w:rPr>
        <w:t>La mayoría de los bancos centrales han incrementado sus precios de referencia, aunque han sido de una gran magnitud, a lo largo del ejercicio 2022 se han moderado, no obstante, se preveen alzas en el corto y mediano plazo.</w:t>
      </w:r>
    </w:p>
    <w:p w14:paraId="62A86E84" w14:textId="77777777" w:rsidR="00903F40" w:rsidRDefault="00903F40" w:rsidP="000A0A97">
      <w:pPr>
        <w:rPr>
          <w:rFonts w:ascii="GalanoGrotesque-Bold" w:eastAsiaTheme="majorEastAsia" w:hAnsi="GalanoGrotesque-Bold" w:cstheme="majorBidi"/>
          <w:noProof/>
          <w:color w:val="000000" w:themeColor="text1"/>
          <w:sz w:val="22"/>
          <w:szCs w:val="22"/>
        </w:rPr>
      </w:pPr>
    </w:p>
    <w:p w14:paraId="1FE1E304" w14:textId="239723C8" w:rsidR="00903F40" w:rsidRDefault="00903F40" w:rsidP="000A0A97">
      <w:pPr>
        <w:rPr>
          <w:rFonts w:ascii="GalanoGrotesque-Bold" w:eastAsiaTheme="majorEastAsia" w:hAnsi="GalanoGrotesque-Bold" w:cstheme="majorBidi"/>
          <w:noProof/>
          <w:color w:val="000000" w:themeColor="text1"/>
          <w:sz w:val="22"/>
          <w:szCs w:val="22"/>
        </w:rPr>
      </w:pPr>
      <w:r>
        <w:rPr>
          <w:rFonts w:ascii="GalanoGrotesque-Bold" w:eastAsiaTheme="majorEastAsia" w:hAnsi="GalanoGrotesque-Bold" w:cstheme="majorBidi"/>
          <w:noProof/>
          <w:color w:val="000000" w:themeColor="text1"/>
          <w:sz w:val="22"/>
          <w:szCs w:val="22"/>
        </w:rPr>
        <w:t xml:space="preserve">En este contexto, el Fondo Monetario Internacional (FMI) </w:t>
      </w:r>
      <w:r w:rsidRPr="00903F40">
        <w:rPr>
          <w:rFonts w:ascii="GalanoGrotesque-Bold" w:eastAsiaTheme="majorEastAsia" w:hAnsi="GalanoGrotesque-Bold" w:cstheme="majorBidi"/>
          <w:noProof/>
          <w:color w:val="000000" w:themeColor="text1"/>
          <w:sz w:val="22"/>
          <w:szCs w:val="22"/>
        </w:rPr>
        <w:t>proyect</w:t>
      </w:r>
      <w:r>
        <w:rPr>
          <w:rFonts w:ascii="GalanoGrotesque-Bold" w:eastAsiaTheme="majorEastAsia" w:hAnsi="GalanoGrotesque-Bold" w:cstheme="majorBidi"/>
          <w:noProof/>
          <w:color w:val="000000" w:themeColor="text1"/>
          <w:sz w:val="22"/>
          <w:szCs w:val="22"/>
        </w:rPr>
        <w:t>ó</w:t>
      </w:r>
      <w:r w:rsidRPr="00903F40">
        <w:rPr>
          <w:rFonts w:ascii="GalanoGrotesque-Bold" w:eastAsiaTheme="majorEastAsia" w:hAnsi="GalanoGrotesque-Bold" w:cstheme="majorBidi"/>
          <w:noProof/>
          <w:color w:val="000000" w:themeColor="text1"/>
          <w:sz w:val="22"/>
          <w:szCs w:val="22"/>
        </w:rPr>
        <w:t xml:space="preserve"> que el crecimiento mundial registre un descenso estimado de 3,4% en 2022, a 2,9% en 2023, para luego repuntar a 3,1% en 2024. Se prevé que la inflación mundial disminuya de 8,8% en 2022 a 6,6% en 2023 y a 4,3% en 2024, niveles aún superiores a los observados antes de la pandemia (2017–19) de alrededor del 3,5%.</w:t>
      </w:r>
      <w:r>
        <w:rPr>
          <w:rFonts w:ascii="GalanoGrotesque-Bold" w:eastAsiaTheme="majorEastAsia" w:hAnsi="GalanoGrotesque-Bold" w:cstheme="majorBidi"/>
          <w:noProof/>
          <w:color w:val="000000" w:themeColor="text1"/>
          <w:sz w:val="22"/>
          <w:szCs w:val="22"/>
        </w:rPr>
        <w:t>(1)</w:t>
      </w:r>
      <w:r w:rsidR="00875DCE">
        <w:rPr>
          <w:rFonts w:ascii="GalanoGrotesque-Bold" w:eastAsiaTheme="majorEastAsia" w:hAnsi="GalanoGrotesque-Bold" w:cstheme="majorBidi"/>
          <w:noProof/>
          <w:color w:val="000000" w:themeColor="text1"/>
          <w:sz w:val="22"/>
          <w:szCs w:val="22"/>
        </w:rPr>
        <w:t xml:space="preserve"> </w:t>
      </w:r>
    </w:p>
    <w:p w14:paraId="01B6E478" w14:textId="77777777" w:rsidR="00903F40" w:rsidRDefault="00903F40" w:rsidP="000A0A97">
      <w:pPr>
        <w:rPr>
          <w:rFonts w:ascii="GalanoGrotesque-Bold" w:eastAsiaTheme="majorEastAsia" w:hAnsi="GalanoGrotesque-Bold" w:cstheme="majorBidi"/>
          <w:noProof/>
          <w:color w:val="000000" w:themeColor="text1"/>
          <w:sz w:val="22"/>
          <w:szCs w:val="22"/>
        </w:rPr>
      </w:pPr>
    </w:p>
    <w:p w14:paraId="7C13D29E" w14:textId="43FA3046" w:rsidR="00903F40" w:rsidRDefault="00903F40" w:rsidP="000A0A97">
      <w:pPr>
        <w:rPr>
          <w:rFonts w:ascii="GalanoGrotesque-Bold" w:eastAsiaTheme="majorEastAsia" w:hAnsi="GalanoGrotesque-Bold" w:cstheme="majorBidi"/>
          <w:noProof/>
          <w:color w:val="000000" w:themeColor="text1"/>
          <w:sz w:val="22"/>
          <w:szCs w:val="22"/>
        </w:rPr>
      </w:pPr>
      <w:r>
        <w:rPr>
          <w:rFonts w:ascii="GalanoGrotesque-Bold" w:eastAsiaTheme="majorEastAsia" w:hAnsi="GalanoGrotesque-Bold" w:cstheme="majorBidi"/>
          <w:noProof/>
          <w:color w:val="000000" w:themeColor="text1"/>
          <w:sz w:val="22"/>
          <w:szCs w:val="22"/>
        </w:rPr>
        <w:t>En este contexto, para nuestro país se prevé que el PIB en el país continúe cayendo durante el ejercicio 2023, al igual que en otras economías emergentes, según el último informe del FMI.</w:t>
      </w:r>
    </w:p>
    <w:p w14:paraId="1333BF25" w14:textId="77777777" w:rsidR="00903F40" w:rsidRDefault="00903F40" w:rsidP="000A0A97">
      <w:pPr>
        <w:rPr>
          <w:rFonts w:ascii="GalanoGrotesque-Bold" w:eastAsiaTheme="majorEastAsia" w:hAnsi="GalanoGrotesque-Bold" w:cstheme="majorBidi"/>
          <w:noProof/>
          <w:color w:val="000000" w:themeColor="text1"/>
          <w:sz w:val="22"/>
          <w:szCs w:val="22"/>
        </w:rPr>
      </w:pPr>
    </w:p>
    <w:p w14:paraId="65632648" w14:textId="77777777" w:rsidR="00903F40" w:rsidRDefault="00903F40" w:rsidP="00903F40">
      <w:pPr>
        <w:jc w:val="center"/>
        <w:rPr>
          <w:rFonts w:ascii="GalanoGrotesque-Bold" w:eastAsiaTheme="majorEastAsia" w:hAnsi="GalanoGrotesque-Bold" w:cstheme="majorBidi"/>
          <w:color w:val="000000" w:themeColor="text1"/>
        </w:rPr>
      </w:pPr>
    </w:p>
    <w:p w14:paraId="1E046840" w14:textId="77777777" w:rsidR="00903F40" w:rsidRDefault="00903F40" w:rsidP="00903F40">
      <w:pPr>
        <w:jc w:val="center"/>
        <w:rPr>
          <w:rFonts w:ascii="GalanoGrotesque-Bold" w:eastAsiaTheme="majorEastAsia" w:hAnsi="GalanoGrotesque-Bold" w:cstheme="majorBidi"/>
          <w:color w:val="000000" w:themeColor="text1"/>
        </w:rPr>
      </w:pPr>
    </w:p>
    <w:p w14:paraId="7C7BD581" w14:textId="27C07991" w:rsidR="00903F40" w:rsidRDefault="00903F40" w:rsidP="00903F40">
      <w:pPr>
        <w:jc w:val="center"/>
        <w:rPr>
          <w:rFonts w:ascii="GalanoGrotesque-Bold" w:eastAsiaTheme="majorEastAsia" w:hAnsi="GalanoGrotesque-Bold" w:cstheme="majorBidi"/>
          <w:color w:val="000000" w:themeColor="text1"/>
        </w:rPr>
      </w:pPr>
      <w:r w:rsidRPr="00903F40">
        <w:rPr>
          <w:rFonts w:ascii="GalanoGrotesque-Bold" w:eastAsiaTheme="majorEastAsia" w:hAnsi="GalanoGrotesque-Bold" w:cstheme="majorBidi"/>
          <w:noProof/>
          <w:color w:val="000000" w:themeColor="text1"/>
        </w:rPr>
        <w:lastRenderedPageBreak/>
        <w:drawing>
          <wp:inline distT="0" distB="0" distL="0" distR="0" wp14:anchorId="4F5E383D" wp14:editId="12D04F76">
            <wp:extent cx="3409950" cy="418521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6420" cy="4193155"/>
                    </a:xfrm>
                    <a:prstGeom prst="rect">
                      <a:avLst/>
                    </a:prstGeom>
                  </pic:spPr>
                </pic:pic>
              </a:graphicData>
            </a:graphic>
          </wp:inline>
        </w:drawing>
      </w:r>
    </w:p>
    <w:p w14:paraId="303D456D" w14:textId="42223F3A" w:rsidR="004B1D48" w:rsidRDefault="004B1D48"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En congruencia con esta estimación, durante el tercer trimestre se tuvo un crecimiento del PIB del 3.6%</w:t>
      </w:r>
      <w:r w:rsidR="00151E25">
        <w:rPr>
          <w:rFonts w:ascii="GalanoGrotesque-Bold" w:eastAsiaTheme="majorEastAsia" w:hAnsi="GalanoGrotesque-Bold" w:cstheme="majorBidi"/>
          <w:color w:val="000000" w:themeColor="text1"/>
        </w:rPr>
        <w:t xml:space="preserve"> a nivel nacional, durante el tercer trimestre del ejercicio 2022, destacando un mayor crecimiento de las actividades primarias.</w:t>
      </w:r>
    </w:p>
    <w:p w14:paraId="5CA4A990" w14:textId="77777777" w:rsidR="004B1D48" w:rsidRDefault="004B1D48" w:rsidP="00903F40">
      <w:pPr>
        <w:rPr>
          <w:rFonts w:ascii="GalanoGrotesque-Bold" w:eastAsiaTheme="majorEastAsia" w:hAnsi="GalanoGrotesque-Bold" w:cstheme="majorBidi"/>
          <w:color w:val="000000" w:themeColor="text1"/>
        </w:rPr>
      </w:pPr>
    </w:p>
    <w:p w14:paraId="2C475210" w14:textId="399D2517" w:rsidR="00903F40" w:rsidRDefault="006768A2"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Bajo esta perspectiva, la Secretaría de Hacienda y Crédito Público, pronosticó una inflación de 4.1% para el ejercicio 2022, sin embargo, al cierre del cuarto trimestre, este indicador alcanzó más del doble en inflación directa y más del 10% en la inflación subyacente.</w:t>
      </w:r>
    </w:p>
    <w:p w14:paraId="5C9761C9" w14:textId="77777777" w:rsidR="00151E25" w:rsidRDefault="00151E25" w:rsidP="00903F40">
      <w:pPr>
        <w:rPr>
          <w:rFonts w:ascii="GalanoGrotesque-Bold" w:eastAsiaTheme="majorEastAsia" w:hAnsi="GalanoGrotesque-Bold" w:cstheme="majorBidi"/>
          <w:color w:val="000000" w:themeColor="text1"/>
        </w:rPr>
      </w:pPr>
    </w:p>
    <w:p w14:paraId="337BB7C5" w14:textId="6F37C4A2" w:rsidR="00151E25" w:rsidRDefault="00151E25"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Se destaca también, que en lo que corresponde a las tasas de referencia y en un afán de controlar el acelerado crecimiento de la inflación, el Banco de México decidió ubicarla en 10.50, con la finalidad de ajustar los índices inflacionarios en 3.0% para el 2024.</w:t>
      </w:r>
    </w:p>
    <w:p w14:paraId="3989C674" w14:textId="77777777" w:rsidR="00151E25" w:rsidRDefault="00151E25" w:rsidP="00903F40">
      <w:pPr>
        <w:rPr>
          <w:rFonts w:ascii="GalanoGrotesque-Bold" w:eastAsiaTheme="majorEastAsia" w:hAnsi="GalanoGrotesque-Bold" w:cstheme="majorBidi"/>
          <w:color w:val="000000" w:themeColor="text1"/>
        </w:rPr>
      </w:pPr>
    </w:p>
    <w:p w14:paraId="0EFA02FD" w14:textId="2BBBE85D" w:rsidR="00151E25" w:rsidRDefault="00151E25"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No obstante, la elevada incertidumbre global no descarta que existan efectos contraproducentes por la prolongación de los efectos de los choques inflacionarios, que se agudicen o se presenten choques adicionales presionando este indicador al alza.</w:t>
      </w:r>
    </w:p>
    <w:p w14:paraId="4557F980" w14:textId="77777777" w:rsidR="00151E25" w:rsidRDefault="00151E25" w:rsidP="00903F40">
      <w:pPr>
        <w:rPr>
          <w:rFonts w:ascii="GalanoGrotesque-Bold" w:eastAsiaTheme="majorEastAsia" w:hAnsi="GalanoGrotesque-Bold" w:cstheme="majorBidi"/>
          <w:color w:val="000000" w:themeColor="text1"/>
        </w:rPr>
      </w:pPr>
    </w:p>
    <w:p w14:paraId="640AB64F" w14:textId="63A9022E" w:rsidR="00151E25" w:rsidRDefault="00151E25"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 xml:space="preserve">Otro factor importante es la contracción que ha tenido la economía estadounidense, que si bien ha resultado en </w:t>
      </w:r>
      <w:r w:rsidR="00075D84">
        <w:rPr>
          <w:rFonts w:ascii="GalanoGrotesque-Bold" w:eastAsiaTheme="majorEastAsia" w:hAnsi="GalanoGrotesque-Bold" w:cstheme="majorBidi"/>
          <w:color w:val="000000" w:themeColor="text1"/>
        </w:rPr>
        <w:t>una recuperación del peso frente al dólar, también incide en las cadenas de suministro y en la incertidumbre de la economía global.</w:t>
      </w:r>
    </w:p>
    <w:p w14:paraId="66468D05" w14:textId="77777777" w:rsidR="00075D84" w:rsidRDefault="00075D84" w:rsidP="00903F40">
      <w:pPr>
        <w:rPr>
          <w:rFonts w:ascii="GalanoGrotesque-Bold" w:eastAsiaTheme="majorEastAsia" w:hAnsi="GalanoGrotesque-Bold" w:cstheme="majorBidi"/>
          <w:color w:val="000000" w:themeColor="text1"/>
        </w:rPr>
      </w:pPr>
    </w:p>
    <w:p w14:paraId="0B4A1D32" w14:textId="36044085" w:rsidR="00075D84" w:rsidRDefault="00075D84" w:rsidP="00903F40">
      <w:pPr>
        <w:rPr>
          <w:rFonts w:ascii="GalanoGrotesque-Bold" w:eastAsiaTheme="majorEastAsia" w:hAnsi="GalanoGrotesque-Bold" w:cstheme="majorBidi"/>
          <w:b/>
          <w:bCs/>
          <w:color w:val="000000" w:themeColor="text1"/>
        </w:rPr>
      </w:pPr>
      <w:r>
        <w:rPr>
          <w:rFonts w:ascii="GalanoGrotesque-Bold" w:eastAsiaTheme="majorEastAsia" w:hAnsi="GalanoGrotesque-Bold" w:cstheme="majorBidi"/>
          <w:b/>
          <w:bCs/>
          <w:color w:val="000000" w:themeColor="text1"/>
        </w:rPr>
        <w:t>PANORAMA ECONÓMICO EN EL ESTADO DE MICHOACÁN.</w:t>
      </w:r>
    </w:p>
    <w:p w14:paraId="1DB53590" w14:textId="77777777" w:rsidR="00075D84" w:rsidRDefault="00075D84" w:rsidP="00903F40">
      <w:pPr>
        <w:rPr>
          <w:rFonts w:ascii="GalanoGrotesque-Bold" w:eastAsiaTheme="majorEastAsia" w:hAnsi="GalanoGrotesque-Bold" w:cstheme="majorBidi"/>
          <w:color w:val="000000" w:themeColor="text1"/>
        </w:rPr>
      </w:pPr>
    </w:p>
    <w:p w14:paraId="02A1B8A1" w14:textId="77777777" w:rsidR="00CA72F6" w:rsidRDefault="00CA72F6" w:rsidP="00903F40">
      <w:r>
        <w:rPr>
          <w:rFonts w:ascii="GalanoGrotesque-Bold" w:eastAsiaTheme="majorEastAsia" w:hAnsi="GalanoGrotesque-Bold" w:cstheme="majorBidi"/>
          <w:color w:val="000000" w:themeColor="text1"/>
        </w:rPr>
        <w:t xml:space="preserve">De acuerdo con datos del INEGI, la principal actividad económica del Estado es la agricultura, logrando colocar </w:t>
      </w:r>
      <w:r w:rsidRPr="00CA72F6">
        <w:rPr>
          <w:rFonts w:ascii="GalanoGrotesque-Bold" w:eastAsiaTheme="majorEastAsia" w:hAnsi="GalanoGrotesque-Bold" w:cstheme="majorBidi"/>
          <w:color w:val="000000" w:themeColor="text1"/>
        </w:rPr>
        <w:t xml:space="preserve">ventas internacionales de </w:t>
      </w:r>
      <w:r>
        <w:rPr>
          <w:rFonts w:ascii="GalanoGrotesque-Bold" w:eastAsiaTheme="majorEastAsia" w:hAnsi="GalanoGrotesque-Bold" w:cstheme="majorBidi"/>
          <w:color w:val="000000" w:themeColor="text1"/>
        </w:rPr>
        <w:t>productos del campo, durante 2022, por</w:t>
      </w:r>
      <w:r w:rsidRPr="00CA72F6">
        <w:rPr>
          <w:rFonts w:ascii="GalanoGrotesque-Bold" w:eastAsiaTheme="majorEastAsia" w:hAnsi="GalanoGrotesque-Bold" w:cstheme="majorBidi"/>
          <w:color w:val="000000" w:themeColor="text1"/>
        </w:rPr>
        <w:t xml:space="preserve"> US$7,154M, las cuales crecieron un 6.87% respecto al año anterior. Los productos con mayor nivel de ventas internacionales en 2022 fueron Higos, Piñas, Aguacates, Guayaba, Mangos, Frescos o Secos (US$3,639M), Otras Frutas y Nueces, Frescas (US$603M) y Frutas y otros Frutos, sin Cocer o Cocidos en Agua o Vapor, Congelados, Incluso con Adición de Azúcar u otro Edulcorante (US$314M).</w:t>
      </w:r>
      <w:r w:rsidRPr="00CA72F6">
        <w:t xml:space="preserve"> </w:t>
      </w:r>
    </w:p>
    <w:p w14:paraId="2C3A59F8" w14:textId="77777777" w:rsidR="00CA72F6" w:rsidRDefault="00CA72F6" w:rsidP="00903F40"/>
    <w:p w14:paraId="35B5865B" w14:textId="1134A8BF" w:rsidR="00075D84" w:rsidRDefault="00CA72F6" w:rsidP="00903F40">
      <w:pPr>
        <w:rPr>
          <w:rFonts w:ascii="GalanoGrotesque-Bold" w:eastAsiaTheme="majorEastAsia" w:hAnsi="GalanoGrotesque-Bold" w:cstheme="majorBidi"/>
          <w:color w:val="000000" w:themeColor="text1"/>
        </w:rPr>
      </w:pPr>
      <w:r>
        <w:t>L</w:t>
      </w:r>
      <w:r w:rsidRPr="00CA72F6">
        <w:rPr>
          <w:rFonts w:ascii="GalanoGrotesque-Bold" w:eastAsiaTheme="majorEastAsia" w:hAnsi="GalanoGrotesque-Bold" w:cstheme="majorBidi"/>
          <w:color w:val="000000" w:themeColor="text1"/>
        </w:rPr>
        <w:t>os municipios con mayor nivel de ventas internacionales en 2022 fueron Uruapan (US$2,702M), Lázaro Cárdenas (US$1,303M), Peribán (US$422M), Jacona (US$369M) y Morelia (US$330M).</w:t>
      </w:r>
    </w:p>
    <w:p w14:paraId="18C38F01" w14:textId="77777777" w:rsidR="00CA72F6" w:rsidRDefault="00CA72F6" w:rsidP="00903F40">
      <w:pPr>
        <w:rPr>
          <w:rFonts w:ascii="GalanoGrotesque-Bold" w:eastAsiaTheme="majorEastAsia" w:hAnsi="GalanoGrotesque-Bold" w:cstheme="majorBidi"/>
          <w:color w:val="000000" w:themeColor="text1"/>
        </w:rPr>
      </w:pPr>
    </w:p>
    <w:p w14:paraId="5DA17DF2" w14:textId="11EF8174" w:rsidR="00CA72F6" w:rsidRDefault="00CA72F6" w:rsidP="00903F40">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 xml:space="preserve">Se estima que la población económicamente activa del Estado es del 61.5% del total de sus habitantes, con un 98.7% de ocupación laboral, </w:t>
      </w:r>
      <w:r>
        <w:rPr>
          <w:rFonts w:ascii="GalanoGrotesque-Bold" w:eastAsiaTheme="majorEastAsia" w:hAnsi="GalanoGrotesque-Bold" w:cstheme="majorBidi"/>
          <w:color w:val="000000" w:themeColor="text1"/>
        </w:rPr>
        <w:lastRenderedPageBreak/>
        <w:t>después del crecimiento del 0.5% en 2022, colocando a nuestra Entidad Federativa como la número 1 a nivel nacional en empleo:</w:t>
      </w:r>
    </w:p>
    <w:p w14:paraId="12796913" w14:textId="77777777" w:rsidR="00CA72F6" w:rsidRDefault="00CA72F6" w:rsidP="00903F40">
      <w:pPr>
        <w:rPr>
          <w:rFonts w:ascii="GalanoGrotesque-Bold" w:eastAsiaTheme="majorEastAsia" w:hAnsi="GalanoGrotesque-Bold" w:cstheme="majorBidi"/>
          <w:color w:val="000000" w:themeColor="text1"/>
        </w:rPr>
      </w:pPr>
    </w:p>
    <w:p w14:paraId="395068B0" w14:textId="6A6FC7A4" w:rsidR="00CA72F6" w:rsidRDefault="00CA72F6" w:rsidP="00903F40">
      <w:pPr>
        <w:rPr>
          <w:rFonts w:ascii="GalanoGrotesque-Bold" w:eastAsiaTheme="majorEastAsia" w:hAnsi="GalanoGrotesque-Bold" w:cstheme="majorBidi"/>
          <w:color w:val="000000" w:themeColor="text1"/>
        </w:rPr>
      </w:pPr>
      <w:r w:rsidRPr="00CA72F6">
        <w:rPr>
          <w:rFonts w:ascii="GalanoGrotesque-Bold" w:eastAsiaTheme="majorEastAsia" w:hAnsi="GalanoGrotesque-Bold" w:cstheme="majorBidi"/>
          <w:noProof/>
          <w:color w:val="000000" w:themeColor="text1"/>
        </w:rPr>
        <w:drawing>
          <wp:inline distT="0" distB="0" distL="0" distR="0" wp14:anchorId="5D4ABE2F" wp14:editId="176F0896">
            <wp:extent cx="5334000" cy="2609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0" cy="2609850"/>
                    </a:xfrm>
                    <a:prstGeom prst="rect">
                      <a:avLst/>
                    </a:prstGeom>
                  </pic:spPr>
                </pic:pic>
              </a:graphicData>
            </a:graphic>
          </wp:inline>
        </w:drawing>
      </w:r>
    </w:p>
    <w:p w14:paraId="0ADB8D4E" w14:textId="77777777" w:rsidR="00CA72F6" w:rsidRDefault="00CA72F6" w:rsidP="00903F40">
      <w:pPr>
        <w:rPr>
          <w:rFonts w:ascii="GalanoGrotesque-Bold" w:eastAsiaTheme="majorEastAsia" w:hAnsi="GalanoGrotesque-Bold" w:cstheme="majorBidi"/>
          <w:color w:val="000000" w:themeColor="text1"/>
        </w:rPr>
      </w:pPr>
    </w:p>
    <w:p w14:paraId="507177E9" w14:textId="77777777" w:rsidR="00287DCC" w:rsidRDefault="00287DCC" w:rsidP="00287DC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En este sentido, el crecimiento económico - laboral del Estado va al alza a pesar de los factores externos que no permiten la estabilidad económica del País y consecuentemente del Estado.</w:t>
      </w:r>
    </w:p>
    <w:p w14:paraId="384EFF6D" w14:textId="77777777" w:rsidR="00287DCC" w:rsidRDefault="00287DCC" w:rsidP="00287DCC">
      <w:pPr>
        <w:rPr>
          <w:rFonts w:ascii="GalanoGrotesque-Bold" w:eastAsiaTheme="majorEastAsia" w:hAnsi="GalanoGrotesque-Bold" w:cstheme="majorBidi"/>
          <w:color w:val="000000" w:themeColor="text1"/>
        </w:rPr>
      </w:pPr>
    </w:p>
    <w:p w14:paraId="2C1201BC" w14:textId="77777777" w:rsidR="00287DCC" w:rsidRDefault="00287DCC" w:rsidP="00287DC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Por lo que el apoyo al sector agrícola es prioridad para el Estado ya que genera empleos lo cual mantiene la economía activa.</w:t>
      </w:r>
    </w:p>
    <w:p w14:paraId="4B0AC229" w14:textId="77777777" w:rsidR="005440BE" w:rsidRDefault="005440BE" w:rsidP="005440BE">
      <w:pPr>
        <w:contextualSpacing/>
        <w:rPr>
          <w:color w:val="FF0000"/>
        </w:rPr>
      </w:pPr>
    </w:p>
    <w:p w14:paraId="21B460B7" w14:textId="77777777" w:rsidR="0028137C" w:rsidRDefault="0028137C" w:rsidP="005440BE">
      <w:pPr>
        <w:contextualSpacing/>
        <w:rPr>
          <w:color w:val="FF0000"/>
        </w:rPr>
      </w:pPr>
    </w:p>
    <w:p w14:paraId="2F84E42D" w14:textId="77777777" w:rsidR="0028137C" w:rsidRDefault="0028137C" w:rsidP="005440BE">
      <w:pPr>
        <w:contextualSpacing/>
        <w:rPr>
          <w:color w:val="FF0000"/>
        </w:rPr>
      </w:pPr>
    </w:p>
    <w:p w14:paraId="6008CF25" w14:textId="77777777" w:rsidR="0028137C" w:rsidRDefault="0028137C" w:rsidP="005440BE">
      <w:pPr>
        <w:contextualSpacing/>
        <w:rPr>
          <w:color w:val="FF0000"/>
        </w:rPr>
      </w:pPr>
    </w:p>
    <w:p w14:paraId="08E1CB98" w14:textId="77777777" w:rsidR="0028137C" w:rsidRDefault="0028137C" w:rsidP="005440BE">
      <w:pPr>
        <w:contextualSpacing/>
        <w:rPr>
          <w:color w:val="FF0000"/>
        </w:rPr>
      </w:pPr>
    </w:p>
    <w:p w14:paraId="5A03CDB8" w14:textId="77777777" w:rsidR="0028137C" w:rsidRDefault="0028137C" w:rsidP="005440BE">
      <w:pPr>
        <w:contextualSpacing/>
        <w:rPr>
          <w:color w:val="FF0000"/>
        </w:rPr>
      </w:pPr>
    </w:p>
    <w:p w14:paraId="66A382B6" w14:textId="77777777" w:rsidR="0028137C" w:rsidRDefault="0028137C" w:rsidP="005440BE">
      <w:pPr>
        <w:contextualSpacing/>
        <w:rPr>
          <w:color w:val="FF0000"/>
        </w:rPr>
      </w:pPr>
    </w:p>
    <w:p w14:paraId="3ACAC5E1" w14:textId="77777777" w:rsidR="0028137C" w:rsidRDefault="0028137C" w:rsidP="005440BE">
      <w:pPr>
        <w:contextualSpacing/>
        <w:rPr>
          <w:color w:val="FF0000"/>
        </w:rPr>
      </w:pPr>
    </w:p>
    <w:p w14:paraId="0647FF66" w14:textId="77777777" w:rsidR="0028137C" w:rsidRDefault="0028137C" w:rsidP="005440BE">
      <w:pPr>
        <w:contextualSpacing/>
        <w:rPr>
          <w:color w:val="FF0000"/>
        </w:rPr>
      </w:pPr>
    </w:p>
    <w:p w14:paraId="7294F50A" w14:textId="77777777" w:rsidR="0028137C" w:rsidRDefault="0028137C" w:rsidP="005440BE">
      <w:pPr>
        <w:contextualSpacing/>
        <w:rPr>
          <w:color w:val="FF0000"/>
        </w:rPr>
      </w:pPr>
    </w:p>
    <w:p w14:paraId="51DE1AF4" w14:textId="77777777" w:rsidR="0028137C" w:rsidRDefault="0028137C" w:rsidP="005440BE">
      <w:pPr>
        <w:contextualSpacing/>
        <w:rPr>
          <w:color w:val="FF0000"/>
        </w:rPr>
      </w:pPr>
    </w:p>
    <w:p w14:paraId="78D9070D" w14:textId="74D2F06D" w:rsidR="0028137C" w:rsidRPr="000223AE" w:rsidRDefault="0028137C" w:rsidP="0028137C">
      <w:pPr>
        <w:contextualSpacing/>
        <w:jc w:val="center"/>
        <w:rPr>
          <w:color w:val="FF0000"/>
        </w:rPr>
      </w:pPr>
      <w:r>
        <w:rPr>
          <w:noProof/>
        </w:rPr>
        <w:drawing>
          <wp:inline distT="0" distB="0" distL="0" distR="0" wp14:anchorId="59A5F1F8" wp14:editId="6CE3D588">
            <wp:extent cx="5931673" cy="5931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009" cy="5946009"/>
                    </a:xfrm>
                    <a:prstGeom prst="rect">
                      <a:avLst/>
                    </a:prstGeom>
                    <a:noFill/>
                    <a:ln>
                      <a:noFill/>
                    </a:ln>
                  </pic:spPr>
                </pic:pic>
              </a:graphicData>
            </a:graphic>
          </wp:inline>
        </w:drawing>
      </w:r>
    </w:p>
    <w:p w14:paraId="76C77A14" w14:textId="77777777" w:rsidR="005440BE" w:rsidRDefault="005440BE" w:rsidP="005440BE">
      <w:pPr>
        <w:contextualSpacing/>
        <w:rPr>
          <w:color w:val="FF0000"/>
        </w:rPr>
      </w:pPr>
    </w:p>
    <w:p w14:paraId="3D810AB2" w14:textId="77777777" w:rsidR="0028137C" w:rsidRDefault="0028137C" w:rsidP="005440BE">
      <w:pPr>
        <w:contextualSpacing/>
        <w:rPr>
          <w:color w:val="FF0000"/>
        </w:rPr>
      </w:pPr>
    </w:p>
    <w:p w14:paraId="59973F9B" w14:textId="77777777" w:rsidR="0028137C" w:rsidRDefault="0028137C" w:rsidP="005440BE">
      <w:pPr>
        <w:contextualSpacing/>
        <w:rPr>
          <w:color w:val="FF0000"/>
        </w:rPr>
      </w:pPr>
    </w:p>
    <w:p w14:paraId="5560735B" w14:textId="2DE62F32" w:rsidR="0028137C" w:rsidRDefault="0028137C" w:rsidP="005440BE">
      <w:pPr>
        <w:contextualSpacing/>
        <w:rPr>
          <w:color w:val="FF0000"/>
        </w:rPr>
      </w:pPr>
      <w:r w:rsidRPr="0028137C">
        <w:drawing>
          <wp:inline distT="0" distB="0" distL="0" distR="0" wp14:anchorId="7D14CAA7" wp14:editId="0A73081D">
            <wp:extent cx="6351270" cy="54148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520" cy="5418462"/>
                    </a:xfrm>
                    <a:prstGeom prst="rect">
                      <a:avLst/>
                    </a:prstGeom>
                    <a:noFill/>
                    <a:ln>
                      <a:noFill/>
                    </a:ln>
                  </pic:spPr>
                </pic:pic>
              </a:graphicData>
            </a:graphic>
          </wp:inline>
        </w:drawing>
      </w:r>
    </w:p>
    <w:p w14:paraId="1111EAD6" w14:textId="77777777" w:rsidR="0028137C" w:rsidRDefault="0028137C" w:rsidP="005440BE">
      <w:pPr>
        <w:contextualSpacing/>
        <w:rPr>
          <w:color w:val="FF0000"/>
        </w:rPr>
      </w:pPr>
    </w:p>
    <w:p w14:paraId="01F6416E" w14:textId="77777777" w:rsidR="0028137C" w:rsidRDefault="0028137C" w:rsidP="005440BE">
      <w:pPr>
        <w:contextualSpacing/>
        <w:rPr>
          <w:color w:val="FF0000"/>
        </w:rPr>
      </w:pPr>
    </w:p>
    <w:p w14:paraId="210D761B" w14:textId="77777777" w:rsidR="0028137C" w:rsidRDefault="0028137C" w:rsidP="005440BE">
      <w:pPr>
        <w:contextualSpacing/>
        <w:rPr>
          <w:color w:val="FF0000"/>
        </w:rPr>
      </w:pPr>
    </w:p>
    <w:p w14:paraId="5C5BD27D" w14:textId="77777777" w:rsidR="0028137C" w:rsidRDefault="0028137C" w:rsidP="005440BE">
      <w:pPr>
        <w:contextualSpacing/>
        <w:rPr>
          <w:color w:val="FF0000"/>
        </w:rPr>
      </w:pPr>
    </w:p>
    <w:p w14:paraId="24842CC2" w14:textId="77777777" w:rsidR="0028137C" w:rsidRDefault="0028137C" w:rsidP="005440BE">
      <w:pPr>
        <w:contextualSpacing/>
        <w:rPr>
          <w:color w:val="FF0000"/>
        </w:rPr>
      </w:pPr>
    </w:p>
    <w:p w14:paraId="417118B8" w14:textId="77777777" w:rsidR="0028137C" w:rsidRDefault="0028137C" w:rsidP="005440BE">
      <w:pPr>
        <w:contextualSpacing/>
        <w:rPr>
          <w:color w:val="FF0000"/>
        </w:rPr>
      </w:pPr>
    </w:p>
    <w:p w14:paraId="49B1CCC2" w14:textId="77777777" w:rsidR="0028137C" w:rsidRDefault="0028137C" w:rsidP="005440BE">
      <w:pPr>
        <w:contextualSpacing/>
        <w:rPr>
          <w:color w:val="FF0000"/>
        </w:rPr>
      </w:pPr>
    </w:p>
    <w:p w14:paraId="09933A71" w14:textId="77777777" w:rsidR="0028137C" w:rsidRDefault="0028137C" w:rsidP="005440BE">
      <w:pPr>
        <w:contextualSpacing/>
        <w:rPr>
          <w:color w:val="FF0000"/>
        </w:rPr>
      </w:pPr>
    </w:p>
    <w:p w14:paraId="3E937F94" w14:textId="7E36569B" w:rsidR="0028137C" w:rsidRPr="000223AE" w:rsidRDefault="0028137C" w:rsidP="0028137C">
      <w:pPr>
        <w:contextualSpacing/>
        <w:jc w:val="center"/>
        <w:rPr>
          <w:color w:val="FF0000"/>
        </w:rPr>
      </w:pPr>
      <w:r>
        <w:rPr>
          <w:noProof/>
        </w:rPr>
        <w:drawing>
          <wp:inline distT="0" distB="0" distL="0" distR="0" wp14:anchorId="4F720033" wp14:editId="31EA4830">
            <wp:extent cx="5390984" cy="5390984"/>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3577" cy="5403577"/>
                    </a:xfrm>
                    <a:prstGeom prst="rect">
                      <a:avLst/>
                    </a:prstGeom>
                    <a:noFill/>
                    <a:ln>
                      <a:noFill/>
                    </a:ln>
                  </pic:spPr>
                </pic:pic>
              </a:graphicData>
            </a:graphic>
          </wp:inline>
        </w:drawing>
      </w:r>
    </w:p>
    <w:p w14:paraId="0CB71AED" w14:textId="77777777" w:rsidR="005440BE" w:rsidRDefault="005440BE">
      <w:pPr>
        <w:rPr>
          <w:color w:val="864A04" w:themeColor="accent2" w:themeShade="80"/>
          <w:u w:val="single"/>
        </w:rPr>
      </w:pPr>
    </w:p>
    <w:p w14:paraId="5880A386" w14:textId="77777777" w:rsidR="0028137C" w:rsidRDefault="0028137C">
      <w:pPr>
        <w:rPr>
          <w:color w:val="864A04" w:themeColor="accent2" w:themeShade="80"/>
          <w:u w:val="single"/>
        </w:rPr>
      </w:pPr>
    </w:p>
    <w:p w14:paraId="6BF02EEB" w14:textId="77777777" w:rsidR="0028137C" w:rsidRDefault="0028137C">
      <w:pPr>
        <w:rPr>
          <w:color w:val="864A04" w:themeColor="accent2" w:themeShade="80"/>
          <w:u w:val="single"/>
        </w:rPr>
      </w:pPr>
    </w:p>
    <w:p w14:paraId="0327E285" w14:textId="77777777" w:rsidR="0028137C" w:rsidRDefault="0028137C">
      <w:pPr>
        <w:rPr>
          <w:color w:val="864A04" w:themeColor="accent2" w:themeShade="80"/>
          <w:u w:val="single"/>
        </w:rPr>
      </w:pPr>
    </w:p>
    <w:p w14:paraId="5A15D566" w14:textId="77777777" w:rsidR="0028137C" w:rsidRDefault="0028137C">
      <w:pPr>
        <w:rPr>
          <w:color w:val="864A04" w:themeColor="accent2" w:themeShade="80"/>
          <w:u w:val="single"/>
        </w:rPr>
      </w:pPr>
    </w:p>
    <w:p w14:paraId="6887BAF4" w14:textId="77777777" w:rsidR="0028137C" w:rsidRDefault="0028137C">
      <w:pPr>
        <w:rPr>
          <w:color w:val="864A04" w:themeColor="accent2" w:themeShade="80"/>
          <w:u w:val="single"/>
        </w:rPr>
      </w:pPr>
    </w:p>
    <w:p w14:paraId="60809788" w14:textId="3DA11F91" w:rsidR="0028137C" w:rsidRDefault="0028137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El gobierno del Estado de Michoacán ha mantenido finanzas sanas, bajando el nivel de endeudamiento y manteniendo la semaforización en verde, de conformidad con las evaluaciones que realiza la Secretaría de Hacienda y Crédito Público.</w:t>
      </w:r>
    </w:p>
    <w:p w14:paraId="13FE6996" w14:textId="10D754B9" w:rsidR="0028137C" w:rsidRDefault="0028137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t>El comportamiento de la deuda se puede apreciar como se muestra en las gráficas siguientes:</w:t>
      </w:r>
    </w:p>
    <w:p w14:paraId="57D37128" w14:textId="77777777" w:rsidR="0028137C" w:rsidRDefault="0028137C">
      <w:pPr>
        <w:rPr>
          <w:rFonts w:ascii="GalanoGrotesque-Bold" w:eastAsiaTheme="majorEastAsia" w:hAnsi="GalanoGrotesque-Bold" w:cstheme="majorBidi"/>
          <w:color w:val="000000" w:themeColor="text1"/>
        </w:rPr>
      </w:pPr>
    </w:p>
    <w:p w14:paraId="50AB18FC" w14:textId="77777777" w:rsidR="0028137C" w:rsidRDefault="0028137C" w:rsidP="0028137C">
      <w:pPr>
        <w:spacing w:before="0" w:after="0"/>
        <w:rPr>
          <w:rFonts w:eastAsia="Calibri" w:cs="Times New Roman"/>
          <w:b/>
          <w:sz w:val="22"/>
          <w:szCs w:val="22"/>
        </w:rPr>
      </w:pPr>
    </w:p>
    <w:p w14:paraId="4EEA6D96" w14:textId="77777777" w:rsidR="0028137C" w:rsidRDefault="0028137C" w:rsidP="0028137C">
      <w:pPr>
        <w:tabs>
          <w:tab w:val="left" w:pos="2835"/>
        </w:tabs>
        <w:spacing w:before="0" w:after="0"/>
        <w:rPr>
          <w:rFonts w:eastAsia="Calibri" w:cs="Times New Roman"/>
          <w:b/>
          <w:sz w:val="22"/>
          <w:szCs w:val="22"/>
        </w:rPr>
      </w:pPr>
      <w:r>
        <w:rPr>
          <w:rFonts w:eastAsia="Calibri" w:cs="Times New Roman"/>
          <w:b/>
          <w:sz w:val="22"/>
          <w:szCs w:val="22"/>
        </w:rPr>
        <w:t xml:space="preserve"> </w:t>
      </w:r>
      <w:r w:rsidRPr="00806629">
        <w:rPr>
          <w:noProof/>
        </w:rPr>
        <w:drawing>
          <wp:inline distT="0" distB="0" distL="0" distR="0" wp14:anchorId="5810CB92" wp14:editId="175E966E">
            <wp:extent cx="6351270" cy="2028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2028825"/>
                    </a:xfrm>
                    <a:prstGeom prst="rect">
                      <a:avLst/>
                    </a:prstGeom>
                    <a:noFill/>
                    <a:ln>
                      <a:noFill/>
                    </a:ln>
                  </pic:spPr>
                </pic:pic>
              </a:graphicData>
            </a:graphic>
          </wp:inline>
        </w:drawing>
      </w:r>
    </w:p>
    <w:p w14:paraId="127AFEDE" w14:textId="77777777" w:rsidR="0028137C" w:rsidRDefault="0028137C" w:rsidP="0028137C">
      <w:pPr>
        <w:spacing w:before="0" w:after="0"/>
        <w:rPr>
          <w:rFonts w:eastAsia="Calibri" w:cs="Times New Roman"/>
          <w:b/>
          <w:sz w:val="22"/>
          <w:szCs w:val="22"/>
        </w:rPr>
      </w:pPr>
      <w:r>
        <w:rPr>
          <w:noProof/>
        </w:rPr>
        <w:lastRenderedPageBreak/>
        <w:drawing>
          <wp:inline distT="0" distB="0" distL="0" distR="0" wp14:anchorId="22BDAD24" wp14:editId="61A7F3E0">
            <wp:extent cx="6351270" cy="3650615"/>
            <wp:effectExtent l="0" t="0" r="0" b="6985"/>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351270" cy="3650615"/>
                    </a:xfrm>
                    <a:prstGeom prst="rect">
                      <a:avLst/>
                    </a:prstGeom>
                  </pic:spPr>
                </pic:pic>
              </a:graphicData>
            </a:graphic>
          </wp:inline>
        </w:drawing>
      </w:r>
    </w:p>
    <w:p w14:paraId="1390494B" w14:textId="63919461" w:rsidR="0028137C" w:rsidRDefault="0028137C" w:rsidP="0028137C">
      <w:pPr>
        <w:spacing w:before="0" w:after="0"/>
        <w:rPr>
          <w:rFonts w:eastAsia="Calibri" w:cs="Times New Roman"/>
          <w:bCs/>
          <w:sz w:val="22"/>
          <w:szCs w:val="22"/>
        </w:rPr>
      </w:pPr>
      <w:r>
        <w:rPr>
          <w:rFonts w:eastAsia="Calibri" w:cs="Times New Roman"/>
          <w:bCs/>
          <w:sz w:val="22"/>
          <w:szCs w:val="22"/>
        </w:rPr>
        <w:t>En el mismo sentido, el saldo de la Deuda pública, representa un 48.13%, respecto a la recaudación de ingresos de libre disposición, por debajo del límite permitido por la Ley de Disciplina Financiera.</w:t>
      </w:r>
    </w:p>
    <w:p w14:paraId="21587008" w14:textId="77777777" w:rsidR="0028137C" w:rsidRDefault="0028137C" w:rsidP="0028137C">
      <w:pPr>
        <w:spacing w:before="0" w:after="0"/>
        <w:rPr>
          <w:rFonts w:eastAsia="Calibri" w:cs="Times New Roman"/>
          <w:bCs/>
          <w:sz w:val="22"/>
          <w:szCs w:val="22"/>
        </w:rPr>
      </w:pPr>
    </w:p>
    <w:p w14:paraId="58CE95B5" w14:textId="77777777" w:rsidR="0028137C" w:rsidRPr="00D71AA9" w:rsidRDefault="0028137C" w:rsidP="0028137C">
      <w:pPr>
        <w:spacing w:before="0" w:after="0"/>
        <w:rPr>
          <w:rFonts w:eastAsia="Calibri" w:cs="Times New Roman"/>
          <w:bCs/>
          <w:sz w:val="22"/>
          <w:szCs w:val="22"/>
        </w:rPr>
      </w:pPr>
      <w:r>
        <w:rPr>
          <w:rFonts w:eastAsia="Calibri" w:cs="Times New Roman"/>
          <w:bCs/>
          <w:sz w:val="22"/>
          <w:szCs w:val="22"/>
        </w:rPr>
        <w:t>Es de destacar que también en este indicador, podemos observar una tendencia a la baja, desde el ejercicio fiscal 2016, como se muestra en las gráficas siguientes:</w:t>
      </w:r>
    </w:p>
    <w:p w14:paraId="08522071" w14:textId="77777777" w:rsidR="0028137C" w:rsidRDefault="0028137C" w:rsidP="0028137C">
      <w:pPr>
        <w:spacing w:before="0" w:after="0"/>
        <w:rPr>
          <w:rFonts w:eastAsia="Calibri" w:cs="Times New Roman"/>
          <w:b/>
          <w:sz w:val="22"/>
          <w:szCs w:val="22"/>
        </w:rPr>
      </w:pPr>
    </w:p>
    <w:p w14:paraId="51B340CD" w14:textId="77777777" w:rsidR="0028137C" w:rsidRDefault="0028137C" w:rsidP="0028137C">
      <w:pPr>
        <w:spacing w:before="0" w:after="0"/>
        <w:rPr>
          <w:rFonts w:eastAsia="Calibri" w:cs="Times New Roman"/>
          <w:b/>
          <w:sz w:val="22"/>
          <w:szCs w:val="22"/>
        </w:rPr>
      </w:pPr>
      <w:r w:rsidRPr="00806629">
        <w:rPr>
          <w:noProof/>
        </w:rPr>
        <w:lastRenderedPageBreak/>
        <w:drawing>
          <wp:inline distT="0" distB="0" distL="0" distR="0" wp14:anchorId="0343C241" wp14:editId="597FDDFA">
            <wp:extent cx="6351270" cy="2101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1270" cy="2101850"/>
                    </a:xfrm>
                    <a:prstGeom prst="rect">
                      <a:avLst/>
                    </a:prstGeom>
                    <a:noFill/>
                    <a:ln>
                      <a:noFill/>
                    </a:ln>
                  </pic:spPr>
                </pic:pic>
              </a:graphicData>
            </a:graphic>
          </wp:inline>
        </w:drawing>
      </w:r>
    </w:p>
    <w:p w14:paraId="64C9E9B0" w14:textId="77777777" w:rsidR="0028137C" w:rsidRPr="003628D8" w:rsidRDefault="0028137C" w:rsidP="0028137C">
      <w:pPr>
        <w:spacing w:before="0" w:after="0"/>
        <w:jc w:val="center"/>
        <w:rPr>
          <w:rFonts w:eastAsia="Calibri" w:cs="Times New Roman"/>
          <w:b/>
          <w:sz w:val="22"/>
          <w:szCs w:val="22"/>
        </w:rPr>
      </w:pPr>
      <w:r>
        <w:rPr>
          <w:noProof/>
        </w:rPr>
        <w:drawing>
          <wp:inline distT="0" distB="0" distL="0" distR="0" wp14:anchorId="197399AA" wp14:editId="02DAD113">
            <wp:extent cx="6351270" cy="3967480"/>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351270" cy="3967480"/>
                    </a:xfrm>
                    <a:prstGeom prst="rect">
                      <a:avLst/>
                    </a:prstGeom>
                  </pic:spPr>
                </pic:pic>
              </a:graphicData>
            </a:graphic>
          </wp:inline>
        </w:drawing>
      </w:r>
    </w:p>
    <w:p w14:paraId="3116F063" w14:textId="77777777" w:rsidR="0028137C" w:rsidRDefault="0028137C" w:rsidP="0028137C">
      <w:pPr>
        <w:spacing w:before="0" w:after="0"/>
        <w:rPr>
          <w:rFonts w:eastAsia="Calibri" w:cs="Times New Roman"/>
          <w:b/>
          <w:sz w:val="22"/>
          <w:szCs w:val="22"/>
        </w:rPr>
      </w:pPr>
    </w:p>
    <w:p w14:paraId="1EF516D6" w14:textId="77777777" w:rsidR="0028137C" w:rsidRDefault="0028137C">
      <w:pPr>
        <w:rPr>
          <w:color w:val="864A04" w:themeColor="accent2" w:themeShade="80"/>
          <w:u w:val="single"/>
        </w:rPr>
      </w:pPr>
    </w:p>
    <w:p w14:paraId="1C39CE6B" w14:textId="77777777" w:rsidR="0028137C" w:rsidRDefault="0028137C">
      <w:pPr>
        <w:rPr>
          <w:color w:val="864A04" w:themeColor="accent2" w:themeShade="80"/>
          <w:u w:val="single"/>
        </w:rPr>
      </w:pPr>
    </w:p>
    <w:p w14:paraId="209E6FB3" w14:textId="77777777" w:rsidR="0028137C" w:rsidRDefault="0028137C">
      <w:pPr>
        <w:rPr>
          <w:color w:val="864A04" w:themeColor="accent2" w:themeShade="80"/>
          <w:u w:val="single"/>
        </w:rPr>
      </w:pPr>
    </w:p>
    <w:p w14:paraId="3DDFE2B4" w14:textId="77777777" w:rsidR="0028137C" w:rsidRDefault="0028137C">
      <w:pPr>
        <w:rPr>
          <w:color w:val="864A04" w:themeColor="accent2" w:themeShade="80"/>
          <w:u w:val="single"/>
        </w:rPr>
      </w:pPr>
    </w:p>
    <w:p w14:paraId="609E29CA" w14:textId="77777777" w:rsidR="0028137C" w:rsidRDefault="0028137C">
      <w:pPr>
        <w:rPr>
          <w:color w:val="864A04" w:themeColor="accent2" w:themeShade="80"/>
          <w:u w:val="single"/>
        </w:rPr>
      </w:pPr>
    </w:p>
    <w:p w14:paraId="41EDE65D" w14:textId="1759E059" w:rsidR="0028137C" w:rsidRDefault="0028137C" w:rsidP="0028137C">
      <w:pPr>
        <w:jc w:val="center"/>
        <w:rPr>
          <w:color w:val="864A04" w:themeColor="accent2" w:themeShade="80"/>
          <w:u w:val="single"/>
        </w:rPr>
      </w:pPr>
      <w:r>
        <w:rPr>
          <w:noProof/>
        </w:rPr>
        <w:drawing>
          <wp:inline distT="0" distB="0" distL="0" distR="0" wp14:anchorId="4F894F91" wp14:editId="4CCA8C86">
            <wp:extent cx="5891917" cy="58919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0212" cy="5910212"/>
                    </a:xfrm>
                    <a:prstGeom prst="rect">
                      <a:avLst/>
                    </a:prstGeom>
                    <a:noFill/>
                    <a:ln>
                      <a:noFill/>
                    </a:ln>
                  </pic:spPr>
                </pic:pic>
              </a:graphicData>
            </a:graphic>
          </wp:inline>
        </w:drawing>
      </w:r>
    </w:p>
    <w:p w14:paraId="1C5BDBE0" w14:textId="77777777" w:rsidR="0028137C" w:rsidRDefault="0028137C" w:rsidP="0028137C">
      <w:pPr>
        <w:jc w:val="center"/>
        <w:rPr>
          <w:color w:val="864A04" w:themeColor="accent2" w:themeShade="80"/>
          <w:u w:val="single"/>
        </w:rPr>
      </w:pPr>
    </w:p>
    <w:p w14:paraId="550A0B09" w14:textId="77777777" w:rsidR="0028137C" w:rsidRDefault="0028137C" w:rsidP="0028137C">
      <w:pPr>
        <w:jc w:val="center"/>
        <w:rPr>
          <w:color w:val="864A04" w:themeColor="accent2" w:themeShade="80"/>
          <w:u w:val="single"/>
        </w:rPr>
      </w:pPr>
    </w:p>
    <w:p w14:paraId="70E3D5C9" w14:textId="77777777" w:rsidR="0028137C" w:rsidRDefault="0028137C" w:rsidP="0028137C">
      <w:pPr>
        <w:jc w:val="center"/>
        <w:rPr>
          <w:color w:val="864A04" w:themeColor="accent2" w:themeShade="80"/>
          <w:u w:val="single"/>
        </w:rPr>
      </w:pPr>
    </w:p>
    <w:p w14:paraId="22885BF0" w14:textId="77777777" w:rsidR="0028137C" w:rsidRDefault="0028137C" w:rsidP="0028137C">
      <w:pPr>
        <w:jc w:val="center"/>
        <w:rPr>
          <w:color w:val="864A04" w:themeColor="accent2" w:themeShade="80"/>
          <w:u w:val="single"/>
        </w:rPr>
      </w:pPr>
    </w:p>
    <w:p w14:paraId="6692CF49" w14:textId="77777777" w:rsidR="0028137C" w:rsidRDefault="0028137C" w:rsidP="0028137C">
      <w:pPr>
        <w:jc w:val="center"/>
        <w:rPr>
          <w:color w:val="864A04" w:themeColor="accent2" w:themeShade="80"/>
          <w:u w:val="single"/>
        </w:rPr>
      </w:pPr>
    </w:p>
    <w:p w14:paraId="6CEE4F0C" w14:textId="1A4410C4" w:rsidR="004136FF" w:rsidRDefault="004136FF" w:rsidP="004136FF">
      <w:pPr>
        <w:rPr>
          <w:rFonts w:eastAsia="Calibri" w:cs="Times New Roman"/>
          <w:bCs/>
          <w:sz w:val="22"/>
          <w:szCs w:val="22"/>
        </w:rPr>
      </w:pPr>
      <w:r w:rsidRPr="00CD0B42">
        <w:rPr>
          <w:rFonts w:cs="Arial"/>
          <w:sz w:val="22"/>
          <w:szCs w:val="22"/>
        </w:rPr>
        <w:t>La meta programada de ingresos para el ejercicio fiscal 2022, se estimó en 81 mil 546 millones 87 mil 927 pesos, logrando una recaudación real por una cantidad de 89 mil 322 millones 333 mil 632 pesos, que representa una variación absoluta positiva de 7 mil 776 millones 245 mil 706</w:t>
      </w:r>
      <w:r>
        <w:rPr>
          <w:rFonts w:cs="Arial"/>
          <w:sz w:val="22"/>
          <w:szCs w:val="22"/>
        </w:rPr>
        <w:t xml:space="preserve"> pesos. </w:t>
      </w:r>
      <w:r>
        <w:rPr>
          <w:rFonts w:eastAsia="Calibri" w:cs="Times New Roman"/>
          <w:bCs/>
          <w:sz w:val="22"/>
          <w:szCs w:val="22"/>
        </w:rPr>
        <w:t>El monto recaudado</w:t>
      </w:r>
      <w:r>
        <w:rPr>
          <w:rFonts w:eastAsia="Calibri" w:cs="Times New Roman"/>
          <w:bCs/>
          <w:sz w:val="22"/>
          <w:szCs w:val="22"/>
        </w:rPr>
        <w:t xml:space="preserve"> represent</w:t>
      </w:r>
      <w:r>
        <w:rPr>
          <w:rFonts w:eastAsia="Calibri" w:cs="Times New Roman"/>
          <w:bCs/>
          <w:sz w:val="22"/>
          <w:szCs w:val="22"/>
        </w:rPr>
        <w:t>ó</w:t>
      </w:r>
      <w:r>
        <w:rPr>
          <w:rFonts w:eastAsia="Calibri" w:cs="Times New Roman"/>
          <w:bCs/>
          <w:sz w:val="22"/>
          <w:szCs w:val="22"/>
        </w:rPr>
        <w:t xml:space="preserve"> un 11.81% de aumento en la recaudación, en comparación con el ejercicio 2021</w:t>
      </w:r>
      <w:r>
        <w:rPr>
          <w:rFonts w:eastAsia="Calibri" w:cs="Times New Roman"/>
          <w:bCs/>
          <w:sz w:val="22"/>
          <w:szCs w:val="22"/>
        </w:rPr>
        <w:t>.</w:t>
      </w:r>
    </w:p>
    <w:p w14:paraId="0BE34E2B" w14:textId="77777777" w:rsidR="00887E0F" w:rsidRDefault="00887E0F" w:rsidP="004136FF">
      <w:pPr>
        <w:rPr>
          <w:rFonts w:eastAsia="Calibri" w:cs="Times New Roman"/>
          <w:bCs/>
          <w:sz w:val="22"/>
          <w:szCs w:val="22"/>
        </w:rPr>
      </w:pPr>
    </w:p>
    <w:p w14:paraId="23853DBE" w14:textId="6C2A090C" w:rsidR="00887E0F" w:rsidRDefault="00887E0F" w:rsidP="004136FF">
      <w:pPr>
        <w:rPr>
          <w:rFonts w:eastAsia="Calibri" w:cs="Times New Roman"/>
          <w:bCs/>
          <w:sz w:val="22"/>
          <w:szCs w:val="22"/>
        </w:rPr>
      </w:pPr>
      <w:r>
        <w:rPr>
          <w:rFonts w:eastAsia="Calibri" w:cs="Times New Roman"/>
          <w:bCs/>
          <w:sz w:val="22"/>
          <w:szCs w:val="22"/>
        </w:rPr>
        <w:t>Los ingresos se comportaron de la siguiente manera:</w:t>
      </w:r>
    </w:p>
    <w:p w14:paraId="4F060C55" w14:textId="77777777" w:rsidR="00887E0F" w:rsidRDefault="00887E0F" w:rsidP="004136FF">
      <w:pPr>
        <w:rPr>
          <w:rFonts w:eastAsia="Calibri" w:cs="Times New Roman"/>
          <w:bCs/>
          <w:sz w:val="22"/>
          <w:szCs w:val="22"/>
        </w:rPr>
      </w:pPr>
    </w:p>
    <w:p w14:paraId="39AEC7D9" w14:textId="29E9E2C5" w:rsidR="00887E0F" w:rsidRDefault="00887E0F" w:rsidP="004136FF">
      <w:pPr>
        <w:rPr>
          <w:rFonts w:eastAsia="Calibri" w:cs="Times New Roman"/>
          <w:bCs/>
          <w:sz w:val="22"/>
          <w:szCs w:val="22"/>
        </w:rPr>
      </w:pPr>
      <w:r>
        <w:rPr>
          <w:rFonts w:eastAsia="Calibri" w:cs="Times New Roman"/>
          <w:bCs/>
          <w:sz w:val="22"/>
          <w:szCs w:val="22"/>
        </w:rPr>
        <w:t>Ingresos totales 89 mil 322 millones 333 mil 632 pesos</w:t>
      </w:r>
    </w:p>
    <w:p w14:paraId="762E5B6A" w14:textId="5D48F673" w:rsidR="00887E0F" w:rsidRDefault="001579DE" w:rsidP="004136FF">
      <w:pPr>
        <w:rPr>
          <w:rFonts w:cs="Arial"/>
          <w:sz w:val="22"/>
          <w:szCs w:val="22"/>
        </w:rPr>
      </w:pPr>
      <w:r>
        <w:rPr>
          <w:noProof/>
        </w:rPr>
        <w:drawing>
          <wp:inline distT="0" distB="0" distL="0" distR="0" wp14:anchorId="53238AEB" wp14:editId="602AF6F0">
            <wp:extent cx="5543550" cy="4395789"/>
            <wp:effectExtent l="0" t="0" r="0" b="5080"/>
            <wp:docPr id="10" name="Gráfico 10">
              <a:extLst xmlns:a="http://schemas.openxmlformats.org/drawingml/2006/main">
                <a:ext uri="{FF2B5EF4-FFF2-40B4-BE49-F238E27FC236}">
                  <a16:creationId xmlns:a16="http://schemas.microsoft.com/office/drawing/2014/main" id="{769721E2-DCFF-D3BC-4C12-E9A93CE08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5A0AC1" w14:textId="77777777" w:rsidR="00887E0F" w:rsidRDefault="00887E0F" w:rsidP="004136FF">
      <w:pPr>
        <w:rPr>
          <w:rFonts w:cs="Arial"/>
          <w:sz w:val="22"/>
          <w:szCs w:val="22"/>
        </w:rPr>
      </w:pPr>
    </w:p>
    <w:p w14:paraId="23AD2700" w14:textId="30C6FE91" w:rsidR="00887E0F" w:rsidRDefault="00887E0F" w:rsidP="004136FF">
      <w:pPr>
        <w:rPr>
          <w:rFonts w:cs="Arial"/>
          <w:sz w:val="22"/>
          <w:szCs w:val="22"/>
        </w:rPr>
      </w:pPr>
      <w:r>
        <w:rPr>
          <w:rFonts w:cs="Arial"/>
          <w:sz w:val="22"/>
          <w:szCs w:val="22"/>
        </w:rPr>
        <w:t>Los ingresos de gestión, por 6 mil 931 millones 709 mil 622 pesos se recaudaron como sigue:</w:t>
      </w:r>
    </w:p>
    <w:p w14:paraId="5029AE99" w14:textId="5890A96C" w:rsidR="00887E0F" w:rsidRDefault="001579DE" w:rsidP="004136FF">
      <w:pPr>
        <w:rPr>
          <w:rFonts w:cs="Arial"/>
          <w:sz w:val="22"/>
          <w:szCs w:val="22"/>
        </w:rPr>
      </w:pPr>
      <w:r>
        <w:rPr>
          <w:noProof/>
        </w:rPr>
        <w:drawing>
          <wp:inline distT="0" distB="0" distL="0" distR="0" wp14:anchorId="40C085AD" wp14:editId="09D99E23">
            <wp:extent cx="5819775" cy="4281489"/>
            <wp:effectExtent l="0" t="0" r="9525" b="5080"/>
            <wp:docPr id="11" name="Gráfico 11">
              <a:extLst xmlns:a="http://schemas.openxmlformats.org/drawingml/2006/main">
                <a:ext uri="{FF2B5EF4-FFF2-40B4-BE49-F238E27FC236}">
                  <a16:creationId xmlns:a16="http://schemas.microsoft.com/office/drawing/2014/main" id="{554E40FD-2B9D-2BAC-4C16-410600499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82F0DD" w14:textId="77777777" w:rsidR="00887E0F" w:rsidRDefault="00887E0F" w:rsidP="004136FF">
      <w:pPr>
        <w:rPr>
          <w:rFonts w:cs="Arial"/>
          <w:sz w:val="22"/>
          <w:szCs w:val="22"/>
        </w:rPr>
      </w:pPr>
    </w:p>
    <w:p w14:paraId="5500095D" w14:textId="6AFFAFC8" w:rsidR="00887E0F" w:rsidRDefault="001579DE" w:rsidP="004136FF">
      <w:pPr>
        <w:rPr>
          <w:rFonts w:cs="Arial"/>
          <w:sz w:val="22"/>
          <w:szCs w:val="22"/>
        </w:rPr>
      </w:pPr>
      <w:r>
        <w:rPr>
          <w:rFonts w:cs="Arial"/>
          <w:sz w:val="22"/>
          <w:szCs w:val="22"/>
        </w:rPr>
        <w:t>Los ingresos de origen federal, por 82 mil 360 millones 837 mil 863 pesos se integró como se muestra a continuación:</w:t>
      </w:r>
    </w:p>
    <w:p w14:paraId="2E3D7A55" w14:textId="77777777" w:rsidR="001579DE" w:rsidRDefault="001579DE" w:rsidP="004136FF">
      <w:pPr>
        <w:rPr>
          <w:rFonts w:cs="Arial"/>
          <w:sz w:val="22"/>
          <w:szCs w:val="22"/>
        </w:rPr>
      </w:pPr>
    </w:p>
    <w:p w14:paraId="73BBD2CB" w14:textId="0534B0FD" w:rsidR="001579DE" w:rsidRDefault="001579DE" w:rsidP="004136FF">
      <w:pPr>
        <w:rPr>
          <w:rFonts w:cs="Arial"/>
          <w:sz w:val="22"/>
          <w:szCs w:val="22"/>
        </w:rPr>
      </w:pPr>
      <w:r>
        <w:rPr>
          <w:noProof/>
        </w:rPr>
        <w:lastRenderedPageBreak/>
        <w:drawing>
          <wp:inline distT="0" distB="0" distL="0" distR="0" wp14:anchorId="51769793" wp14:editId="7C944BC0">
            <wp:extent cx="5526157" cy="4579951"/>
            <wp:effectExtent l="0" t="0" r="17780" b="11430"/>
            <wp:docPr id="15" name="Gráfico 15">
              <a:extLst xmlns:a="http://schemas.openxmlformats.org/drawingml/2006/main">
                <a:ext uri="{FF2B5EF4-FFF2-40B4-BE49-F238E27FC236}">
                  <a16:creationId xmlns:a16="http://schemas.microsoft.com/office/drawing/2014/main" id="{589B787D-8BE3-C482-0F47-7C2E77EAB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02750D" w14:textId="77777777" w:rsidR="001579DE" w:rsidRDefault="001579DE" w:rsidP="004136FF">
      <w:pPr>
        <w:rPr>
          <w:rFonts w:cs="Arial"/>
          <w:sz w:val="22"/>
          <w:szCs w:val="22"/>
        </w:rPr>
      </w:pPr>
    </w:p>
    <w:p w14:paraId="5A68FBFB" w14:textId="77777777" w:rsidR="001579DE" w:rsidRDefault="001579DE" w:rsidP="001579DE">
      <w:pPr>
        <w:spacing w:before="0" w:after="0"/>
        <w:rPr>
          <w:rFonts w:eastAsia="Calibri" w:cs="Times New Roman"/>
          <w:bCs/>
          <w:sz w:val="22"/>
          <w:szCs w:val="22"/>
        </w:rPr>
      </w:pPr>
      <w:r w:rsidRPr="0052472F">
        <w:rPr>
          <w:rFonts w:eastAsia="Calibri" w:cs="Times New Roman"/>
          <w:bCs/>
          <w:sz w:val="22"/>
          <w:szCs w:val="22"/>
        </w:rPr>
        <w:t xml:space="preserve">Para realizar el pronóstico de los impuestos a recaudar en el período 2023-2028 se implementó un análisis econométrico de suavizamiento exponencial multiplicativo, utilizando los datos de recaudación en una serie de tiempo mensual de julio de 2018 a agosto del 2022,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0897A102" w14:textId="61D401FF" w:rsidR="001579DE" w:rsidRPr="0052472F" w:rsidRDefault="001579DE" w:rsidP="001579DE">
      <w:pPr>
        <w:spacing w:before="0" w:after="0"/>
        <w:rPr>
          <w:rFonts w:eastAsia="Calibri" w:cs="Times New Roman"/>
          <w:bCs/>
          <w:sz w:val="22"/>
          <w:szCs w:val="22"/>
        </w:rPr>
      </w:pPr>
      <w:r w:rsidRPr="00533B4A">
        <w:rPr>
          <w:rFonts w:eastAsia="Calibri" w:cs="Times New Roman"/>
          <w:b/>
          <w:sz w:val="22"/>
          <w:szCs w:val="22"/>
        </w:rPr>
        <w:t>a. Composición del Padrón de Contribuyentes</w:t>
      </w:r>
      <w:r>
        <w:rPr>
          <w:rFonts w:eastAsia="Calibri" w:cs="Times New Roman"/>
          <w:b/>
          <w:sz w:val="22"/>
          <w:szCs w:val="22"/>
        </w:rPr>
        <w:t>.</w:t>
      </w:r>
    </w:p>
    <w:p w14:paraId="3C086E84" w14:textId="27936C96" w:rsidR="001579DE" w:rsidRPr="0052472F" w:rsidRDefault="001579DE" w:rsidP="001579DE">
      <w:pPr>
        <w:spacing w:before="0" w:after="0"/>
        <w:rPr>
          <w:rFonts w:eastAsia="Calibri" w:cs="Times New Roman"/>
          <w:bCs/>
          <w:sz w:val="22"/>
          <w:szCs w:val="22"/>
        </w:rPr>
      </w:pPr>
      <w:r w:rsidRPr="00533B4A">
        <w:rPr>
          <w:rFonts w:eastAsia="Calibri" w:cs="Times New Roman"/>
          <w:b/>
          <w:sz w:val="22"/>
          <w:szCs w:val="22"/>
        </w:rPr>
        <w:t>b. Valuación de estrategias</w:t>
      </w:r>
      <w:r w:rsidRPr="0052472F">
        <w:rPr>
          <w:rFonts w:eastAsia="Calibri" w:cs="Times New Roman"/>
          <w:bCs/>
          <w:sz w:val="22"/>
          <w:szCs w:val="22"/>
        </w:rPr>
        <w:t xml:space="preserve"> </w:t>
      </w:r>
      <w:r>
        <w:rPr>
          <w:rFonts w:eastAsia="Calibri" w:cs="Times New Roman"/>
          <w:bCs/>
          <w:sz w:val="22"/>
          <w:szCs w:val="22"/>
        </w:rPr>
        <w:t>.</w:t>
      </w:r>
    </w:p>
    <w:p w14:paraId="2A849EE9" w14:textId="77777777" w:rsidR="001579DE" w:rsidRPr="0052472F" w:rsidRDefault="001579DE" w:rsidP="001579DE">
      <w:pPr>
        <w:spacing w:before="0" w:after="0"/>
        <w:rPr>
          <w:rFonts w:eastAsia="Calibri" w:cs="Times New Roman"/>
          <w:bCs/>
          <w:sz w:val="22"/>
          <w:szCs w:val="22"/>
        </w:rPr>
      </w:pPr>
      <w:r w:rsidRPr="00533B4A">
        <w:rPr>
          <w:rFonts w:eastAsia="Calibri" w:cs="Times New Roman"/>
          <w:b/>
          <w:sz w:val="22"/>
          <w:szCs w:val="22"/>
        </w:rPr>
        <w:lastRenderedPageBreak/>
        <w:t>c. Valuación de estrategias de incorporación al padrón</w:t>
      </w:r>
      <w:r w:rsidRPr="0052472F">
        <w:rPr>
          <w:rFonts w:eastAsia="Calibri" w:cs="Times New Roman"/>
          <w:bCs/>
          <w:sz w:val="22"/>
          <w:szCs w:val="22"/>
        </w:rPr>
        <w:t>.</w:t>
      </w:r>
    </w:p>
    <w:p w14:paraId="51836319" w14:textId="2D9EBB35" w:rsidR="001579DE" w:rsidRDefault="001579DE" w:rsidP="001579DE">
      <w:pPr>
        <w:rPr>
          <w:rFonts w:eastAsia="Calibri" w:cs="Times New Roman"/>
          <w:bCs/>
          <w:sz w:val="22"/>
          <w:szCs w:val="22"/>
        </w:rPr>
      </w:pPr>
      <w:r w:rsidRPr="00533B4A">
        <w:rPr>
          <w:rFonts w:eastAsia="Calibri" w:cs="Times New Roman"/>
          <w:b/>
          <w:sz w:val="22"/>
          <w:szCs w:val="22"/>
        </w:rPr>
        <w:t>d. Ponderación del indicador de la actividad económica estatal</w:t>
      </w:r>
      <w:r>
        <w:rPr>
          <w:rFonts w:eastAsia="Calibri" w:cs="Times New Roman"/>
          <w:bCs/>
          <w:sz w:val="22"/>
          <w:szCs w:val="22"/>
        </w:rPr>
        <w:t>.</w:t>
      </w:r>
    </w:p>
    <w:p w14:paraId="0ACF862B" w14:textId="77777777" w:rsidR="001579DE" w:rsidRDefault="001579DE" w:rsidP="001579DE">
      <w:pPr>
        <w:rPr>
          <w:rFonts w:eastAsia="Calibri" w:cs="Times New Roman"/>
          <w:bCs/>
          <w:sz w:val="22"/>
          <w:szCs w:val="22"/>
        </w:rPr>
      </w:pPr>
    </w:p>
    <w:p w14:paraId="73926C93" w14:textId="65C6F484" w:rsidR="001579DE" w:rsidRDefault="001579DE" w:rsidP="001579DE">
      <w:pPr>
        <w:rPr>
          <w:rFonts w:eastAsia="Calibri" w:cs="Times New Roman"/>
          <w:bCs/>
          <w:sz w:val="22"/>
          <w:szCs w:val="22"/>
        </w:rPr>
      </w:pPr>
      <w:r>
        <w:rPr>
          <w:rFonts w:eastAsia="Calibri" w:cs="Times New Roman"/>
          <w:bCs/>
          <w:sz w:val="22"/>
          <w:szCs w:val="22"/>
        </w:rPr>
        <w:t>Por lo que se espera que la recaudación estatal continúe siendo favorable al Gobierno del Estado a fin de contar con los recursos necesarios para dar mejor atención a los ciudadanos del Estado de Michoacán.</w:t>
      </w:r>
    </w:p>
    <w:p w14:paraId="4C682A76" w14:textId="77777777" w:rsidR="003A240E" w:rsidRDefault="003A240E" w:rsidP="001579DE">
      <w:pPr>
        <w:rPr>
          <w:rFonts w:eastAsia="Calibri" w:cs="Times New Roman"/>
          <w:bCs/>
          <w:sz w:val="22"/>
          <w:szCs w:val="22"/>
        </w:rPr>
      </w:pPr>
    </w:p>
    <w:p w14:paraId="36B644E3" w14:textId="77777777" w:rsidR="003A240E" w:rsidRDefault="003A240E" w:rsidP="001579DE">
      <w:pPr>
        <w:rPr>
          <w:rFonts w:eastAsia="Calibri" w:cs="Times New Roman"/>
          <w:bCs/>
          <w:sz w:val="22"/>
          <w:szCs w:val="22"/>
        </w:rPr>
      </w:pPr>
    </w:p>
    <w:p w14:paraId="2E744DC3" w14:textId="77777777" w:rsidR="003A240E" w:rsidRDefault="003A240E" w:rsidP="001579DE">
      <w:pPr>
        <w:rPr>
          <w:rFonts w:eastAsia="Calibri" w:cs="Times New Roman"/>
          <w:bCs/>
          <w:sz w:val="22"/>
          <w:szCs w:val="22"/>
        </w:rPr>
      </w:pPr>
    </w:p>
    <w:p w14:paraId="016A4235" w14:textId="77777777" w:rsidR="003A240E" w:rsidRDefault="003A240E" w:rsidP="001579DE">
      <w:pPr>
        <w:rPr>
          <w:rFonts w:eastAsia="Calibri" w:cs="Times New Roman"/>
          <w:bCs/>
          <w:sz w:val="22"/>
          <w:szCs w:val="22"/>
        </w:rPr>
      </w:pPr>
    </w:p>
    <w:p w14:paraId="4CCF78A3" w14:textId="77777777" w:rsidR="003A240E" w:rsidRDefault="003A240E" w:rsidP="001579DE">
      <w:pPr>
        <w:rPr>
          <w:rFonts w:eastAsia="Calibri" w:cs="Times New Roman"/>
          <w:bCs/>
          <w:sz w:val="22"/>
          <w:szCs w:val="22"/>
        </w:rPr>
      </w:pPr>
    </w:p>
    <w:p w14:paraId="011FBF17" w14:textId="77777777" w:rsidR="003A240E" w:rsidRDefault="003A240E" w:rsidP="001579DE">
      <w:pPr>
        <w:rPr>
          <w:rFonts w:eastAsia="Calibri" w:cs="Times New Roman"/>
          <w:bCs/>
          <w:sz w:val="22"/>
          <w:szCs w:val="22"/>
        </w:rPr>
      </w:pPr>
    </w:p>
    <w:p w14:paraId="2AAB8BB5" w14:textId="77777777" w:rsidR="003A240E" w:rsidRDefault="003A240E" w:rsidP="001579DE">
      <w:pPr>
        <w:rPr>
          <w:rFonts w:eastAsia="Calibri" w:cs="Times New Roman"/>
          <w:bCs/>
          <w:sz w:val="22"/>
          <w:szCs w:val="22"/>
        </w:rPr>
      </w:pPr>
    </w:p>
    <w:p w14:paraId="3E8483B7" w14:textId="77777777" w:rsidR="003A240E" w:rsidRDefault="003A240E" w:rsidP="001579DE">
      <w:pPr>
        <w:rPr>
          <w:rFonts w:eastAsia="Calibri" w:cs="Times New Roman"/>
          <w:bCs/>
          <w:sz w:val="22"/>
          <w:szCs w:val="22"/>
        </w:rPr>
      </w:pPr>
    </w:p>
    <w:p w14:paraId="1C0E36E2" w14:textId="77777777" w:rsidR="003A240E" w:rsidRDefault="003A240E" w:rsidP="001579DE">
      <w:pPr>
        <w:rPr>
          <w:rFonts w:eastAsia="Calibri" w:cs="Times New Roman"/>
          <w:bCs/>
          <w:sz w:val="22"/>
          <w:szCs w:val="22"/>
        </w:rPr>
      </w:pPr>
    </w:p>
    <w:p w14:paraId="37B0635D" w14:textId="77777777" w:rsidR="003A240E" w:rsidRDefault="003A240E" w:rsidP="001579DE">
      <w:pPr>
        <w:rPr>
          <w:rFonts w:eastAsia="Calibri" w:cs="Times New Roman"/>
          <w:bCs/>
          <w:sz w:val="22"/>
          <w:szCs w:val="22"/>
        </w:rPr>
      </w:pPr>
    </w:p>
    <w:p w14:paraId="3CA3D34C" w14:textId="77777777" w:rsidR="003A240E" w:rsidRDefault="003A240E" w:rsidP="001579DE">
      <w:pPr>
        <w:rPr>
          <w:rFonts w:eastAsia="Calibri" w:cs="Times New Roman"/>
          <w:bCs/>
          <w:sz w:val="22"/>
          <w:szCs w:val="22"/>
        </w:rPr>
      </w:pPr>
    </w:p>
    <w:p w14:paraId="09A3D2F8" w14:textId="77777777" w:rsidR="003A240E" w:rsidRDefault="003A240E" w:rsidP="001579DE">
      <w:pPr>
        <w:rPr>
          <w:rFonts w:eastAsia="Calibri" w:cs="Times New Roman"/>
          <w:bCs/>
          <w:sz w:val="22"/>
          <w:szCs w:val="22"/>
        </w:rPr>
      </w:pPr>
    </w:p>
    <w:p w14:paraId="147E604D" w14:textId="77777777" w:rsidR="003A240E" w:rsidRDefault="003A240E" w:rsidP="001579DE">
      <w:pPr>
        <w:rPr>
          <w:rFonts w:eastAsia="Calibri" w:cs="Times New Roman"/>
          <w:bCs/>
          <w:sz w:val="22"/>
          <w:szCs w:val="22"/>
        </w:rPr>
      </w:pPr>
    </w:p>
    <w:p w14:paraId="10E28D24" w14:textId="77777777" w:rsidR="003A240E" w:rsidRDefault="003A240E" w:rsidP="001579DE">
      <w:pPr>
        <w:rPr>
          <w:rFonts w:eastAsia="Calibri" w:cs="Times New Roman"/>
          <w:bCs/>
          <w:sz w:val="22"/>
          <w:szCs w:val="22"/>
        </w:rPr>
      </w:pPr>
    </w:p>
    <w:p w14:paraId="58B43572" w14:textId="77777777" w:rsidR="003A240E" w:rsidRDefault="003A240E" w:rsidP="001579DE">
      <w:pPr>
        <w:rPr>
          <w:rFonts w:eastAsia="Calibri" w:cs="Times New Roman"/>
          <w:bCs/>
          <w:sz w:val="22"/>
          <w:szCs w:val="22"/>
        </w:rPr>
      </w:pPr>
    </w:p>
    <w:p w14:paraId="22317DBC" w14:textId="77777777" w:rsidR="003A240E" w:rsidRDefault="003A240E" w:rsidP="001579DE">
      <w:pPr>
        <w:rPr>
          <w:rFonts w:eastAsia="Calibri" w:cs="Times New Roman"/>
          <w:bCs/>
          <w:sz w:val="22"/>
          <w:szCs w:val="22"/>
        </w:rPr>
      </w:pPr>
    </w:p>
    <w:p w14:paraId="3346B74E" w14:textId="77777777" w:rsidR="003A240E" w:rsidRDefault="003A240E" w:rsidP="001579DE">
      <w:pPr>
        <w:rPr>
          <w:rFonts w:eastAsia="Calibri" w:cs="Times New Roman"/>
          <w:bCs/>
          <w:sz w:val="22"/>
          <w:szCs w:val="22"/>
        </w:rPr>
      </w:pPr>
    </w:p>
    <w:p w14:paraId="21834CD1" w14:textId="148CCEDB" w:rsidR="003A240E" w:rsidRDefault="003A240E" w:rsidP="003A240E">
      <w:pPr>
        <w:jc w:val="center"/>
        <w:rPr>
          <w:rFonts w:cs="Arial"/>
          <w:sz w:val="22"/>
          <w:szCs w:val="22"/>
        </w:rPr>
      </w:pPr>
      <w:r>
        <w:rPr>
          <w:noProof/>
        </w:rPr>
        <w:lastRenderedPageBreak/>
        <w:drawing>
          <wp:inline distT="0" distB="0" distL="0" distR="0" wp14:anchorId="1B465FA1" wp14:editId="5D40D8F7">
            <wp:extent cx="6146358" cy="6146358"/>
            <wp:effectExtent l="0" t="0" r="698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0217" cy="6160217"/>
                    </a:xfrm>
                    <a:prstGeom prst="rect">
                      <a:avLst/>
                    </a:prstGeom>
                    <a:noFill/>
                    <a:ln>
                      <a:noFill/>
                    </a:ln>
                  </pic:spPr>
                </pic:pic>
              </a:graphicData>
            </a:graphic>
          </wp:inline>
        </w:drawing>
      </w:r>
    </w:p>
    <w:p w14:paraId="26EA801D" w14:textId="77777777" w:rsidR="003A240E" w:rsidRDefault="003A240E" w:rsidP="003A240E">
      <w:pPr>
        <w:jc w:val="center"/>
        <w:rPr>
          <w:rFonts w:cs="Arial"/>
          <w:sz w:val="22"/>
          <w:szCs w:val="22"/>
        </w:rPr>
      </w:pPr>
    </w:p>
    <w:p w14:paraId="275FF85B" w14:textId="77777777" w:rsidR="003A240E" w:rsidRDefault="003A240E" w:rsidP="003A240E">
      <w:pPr>
        <w:jc w:val="center"/>
        <w:rPr>
          <w:rFonts w:cs="Arial"/>
          <w:sz w:val="22"/>
          <w:szCs w:val="22"/>
        </w:rPr>
      </w:pPr>
    </w:p>
    <w:p w14:paraId="2EB0ACD7" w14:textId="77777777" w:rsidR="003A240E" w:rsidRDefault="003A240E" w:rsidP="003A240E">
      <w:pPr>
        <w:jc w:val="center"/>
        <w:rPr>
          <w:rFonts w:cs="Arial"/>
          <w:sz w:val="22"/>
          <w:szCs w:val="22"/>
        </w:rPr>
      </w:pPr>
    </w:p>
    <w:p w14:paraId="14DDC4B4" w14:textId="77777777" w:rsidR="003A240E" w:rsidRDefault="003A240E" w:rsidP="003A240E">
      <w:pPr>
        <w:jc w:val="center"/>
        <w:rPr>
          <w:rFonts w:cs="Arial"/>
          <w:sz w:val="22"/>
          <w:szCs w:val="22"/>
        </w:rPr>
      </w:pPr>
    </w:p>
    <w:p w14:paraId="36007EA8" w14:textId="77777777" w:rsidR="003A240E" w:rsidRDefault="003A240E" w:rsidP="003A240E">
      <w:pPr>
        <w:jc w:val="center"/>
        <w:rPr>
          <w:rFonts w:cs="Arial"/>
          <w:sz w:val="22"/>
          <w:szCs w:val="22"/>
        </w:rPr>
      </w:pPr>
    </w:p>
    <w:p w14:paraId="5E71650A" w14:textId="77777777" w:rsidR="003A240E" w:rsidRDefault="003A240E" w:rsidP="003A240E">
      <w:pPr>
        <w:jc w:val="center"/>
        <w:rPr>
          <w:rFonts w:cs="Arial"/>
          <w:sz w:val="22"/>
          <w:szCs w:val="22"/>
        </w:rPr>
      </w:pPr>
    </w:p>
    <w:p w14:paraId="4EEFFE68" w14:textId="255A42CC" w:rsidR="003A240E" w:rsidRDefault="003A240E" w:rsidP="003A240E">
      <w:pPr>
        <w:rPr>
          <w:rFonts w:cs="Arial"/>
          <w:sz w:val="22"/>
          <w:szCs w:val="22"/>
        </w:rPr>
      </w:pPr>
      <w:r>
        <w:rPr>
          <w:rFonts w:cs="Arial"/>
          <w:sz w:val="22"/>
          <w:szCs w:val="22"/>
        </w:rPr>
        <w:t>De conformidad con el Ordenamiento de austeridad vigente se han establecido políticas del gasto público a fin de atender las necesidades prioritarias del Estado y sus municipios.</w:t>
      </w:r>
    </w:p>
    <w:p w14:paraId="203A4F69" w14:textId="77777777" w:rsidR="003A240E" w:rsidRDefault="003A240E" w:rsidP="003A240E">
      <w:pPr>
        <w:rPr>
          <w:rFonts w:cs="Arial"/>
          <w:sz w:val="22"/>
          <w:szCs w:val="22"/>
        </w:rPr>
      </w:pPr>
    </w:p>
    <w:p w14:paraId="78391D7E" w14:textId="2FC725D3" w:rsidR="003A240E" w:rsidRDefault="003A240E" w:rsidP="003A240E">
      <w:pPr>
        <w:rPr>
          <w:rFonts w:cs="Arial"/>
          <w:sz w:val="22"/>
          <w:szCs w:val="22"/>
        </w:rPr>
      </w:pPr>
      <w:r>
        <w:rPr>
          <w:rFonts w:cs="Arial"/>
          <w:sz w:val="22"/>
          <w:szCs w:val="22"/>
        </w:rPr>
        <w:t>Así pues, se ha ejercido un presupuesto de 88 mil 886 millones 901 mil 492 pesos como se muestra a continuación:</w:t>
      </w:r>
    </w:p>
    <w:p w14:paraId="36743316" w14:textId="77777777" w:rsidR="003A240E" w:rsidRDefault="003A240E" w:rsidP="003A240E">
      <w:pPr>
        <w:rPr>
          <w:rFonts w:cs="Arial"/>
          <w:sz w:val="22"/>
          <w:szCs w:val="22"/>
        </w:rPr>
      </w:pPr>
    </w:p>
    <w:p w14:paraId="6E17B14A" w14:textId="3A9140D9" w:rsidR="003A240E" w:rsidRPr="004136FF" w:rsidRDefault="003A240E" w:rsidP="003A240E">
      <w:pPr>
        <w:rPr>
          <w:rFonts w:cs="Arial"/>
          <w:sz w:val="22"/>
          <w:szCs w:val="22"/>
        </w:rPr>
      </w:pPr>
      <w:r>
        <w:rPr>
          <w:noProof/>
        </w:rPr>
        <w:drawing>
          <wp:inline distT="0" distB="0" distL="0" distR="0" wp14:anchorId="7171966E" wp14:editId="3D7147F4">
            <wp:extent cx="6153150" cy="2743200"/>
            <wp:effectExtent l="0" t="0" r="0" b="0"/>
            <wp:docPr id="17" name="Gráfico 17">
              <a:extLst xmlns:a="http://schemas.openxmlformats.org/drawingml/2006/main">
                <a:ext uri="{FF2B5EF4-FFF2-40B4-BE49-F238E27FC236}">
                  <a16:creationId xmlns:a16="http://schemas.microsoft.com/office/drawing/2014/main" id="{1F6D0872-FA79-3257-923B-E560DBAEF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3A240E" w:rsidRPr="004136FF" w:rsidSect="00CB1741">
      <w:headerReference w:type="even" r:id="rId29"/>
      <w:headerReference w:type="default" r:id="rId30"/>
      <w:footerReference w:type="default" r:id="rId31"/>
      <w:headerReference w:type="first" r:id="rId32"/>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AEA0" w14:textId="77777777" w:rsidR="00A84C00" w:rsidRDefault="00A84C00" w:rsidP="006A5067">
      <w:pPr>
        <w:spacing w:before="0" w:after="0" w:line="240" w:lineRule="auto"/>
      </w:pPr>
      <w:r>
        <w:separator/>
      </w:r>
    </w:p>
  </w:endnote>
  <w:endnote w:type="continuationSeparator" w:id="0">
    <w:p w14:paraId="5A94A323" w14:textId="77777777" w:rsidR="00A84C00" w:rsidRDefault="00A84C00"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45704"/>
      <w:docPartObj>
        <w:docPartGallery w:val="Page Numbers (Bottom of Page)"/>
        <w:docPartUnique/>
      </w:docPartObj>
    </w:sdtPr>
    <w:sdtContent>
      <w:p w14:paraId="5BFF0BAC" w14:textId="77777777" w:rsidR="00CF5776" w:rsidRDefault="006D4F73">
        <w:pPr>
          <w:pStyle w:val="Piedepgina"/>
          <w:jc w:val="center"/>
        </w:pPr>
        <w:r>
          <w:fldChar w:fldCharType="begin"/>
        </w:r>
        <w:r>
          <w:instrText>PAGE   \* MERGEFORMAT</w:instrText>
        </w:r>
        <w:r>
          <w:fldChar w:fldCharType="separate"/>
        </w:r>
        <w:r>
          <w:t>2</w:t>
        </w:r>
        <w:r>
          <w:fldChar w:fldCharType="end"/>
        </w:r>
      </w:p>
      <w:p w14:paraId="52C352FB" w14:textId="751E8667" w:rsidR="006D4F73" w:rsidRDefault="00CF5776">
        <w:pPr>
          <w:pStyle w:val="Piedepgina"/>
          <w:jc w:val="center"/>
        </w:pPr>
        <w:r>
          <w:rPr>
            <w:noProof/>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90D0" w14:textId="77777777" w:rsidR="00A84C00" w:rsidRDefault="00A84C00" w:rsidP="006A5067">
      <w:pPr>
        <w:spacing w:before="0" w:after="0" w:line="240" w:lineRule="auto"/>
      </w:pPr>
      <w:bookmarkStart w:id="0" w:name="_Hlk71019289"/>
      <w:bookmarkEnd w:id="0"/>
      <w:r>
        <w:separator/>
      </w:r>
    </w:p>
  </w:footnote>
  <w:footnote w:type="continuationSeparator" w:id="0">
    <w:p w14:paraId="1F8B89DB" w14:textId="77777777" w:rsidR="00A84C00" w:rsidRDefault="00A84C00"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45A" w14:textId="54FA492F" w:rsidR="00DC3291" w:rsidRDefault="0000000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A07" w14:textId="16CF1F36" w:rsidR="006D4F73" w:rsidRDefault="005E18AB">
    <w:pPr>
      <w:pStyle w:val="Encabezado"/>
    </w:pPr>
    <w:r>
      <w:rPr>
        <w:noProof/>
      </w:rPr>
      <w:drawing>
        <wp:anchor distT="0" distB="0" distL="114300" distR="114300" simplePos="0" relativeHeight="251661312" behindDoc="1" locked="0" layoutInCell="1" allowOverlap="1" wp14:anchorId="391091CD" wp14:editId="66A441AB">
          <wp:simplePos x="0" y="0"/>
          <wp:positionH relativeFrom="page">
            <wp:posOffset>487728</wp:posOffset>
          </wp:positionH>
          <wp:positionV relativeFrom="paragraph">
            <wp:posOffset>41275</wp:posOffset>
          </wp:positionV>
          <wp:extent cx="6762019" cy="491303"/>
          <wp:effectExtent l="0" t="0" r="127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62019" cy="49130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2E4" w14:textId="000BA79E" w:rsidR="006D4F73" w:rsidRDefault="0000000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1007552">
    <w:abstractNumId w:val="15"/>
  </w:num>
  <w:num w:numId="2" w16cid:durableId="1187791120">
    <w:abstractNumId w:val="9"/>
  </w:num>
  <w:num w:numId="3" w16cid:durableId="322204614">
    <w:abstractNumId w:val="8"/>
  </w:num>
  <w:num w:numId="4" w16cid:durableId="152993165">
    <w:abstractNumId w:val="14"/>
  </w:num>
  <w:num w:numId="5" w16cid:durableId="1751658815">
    <w:abstractNumId w:val="12"/>
  </w:num>
  <w:num w:numId="6" w16cid:durableId="839202361">
    <w:abstractNumId w:val="11"/>
  </w:num>
  <w:num w:numId="7" w16cid:durableId="2096171928">
    <w:abstractNumId w:val="7"/>
  </w:num>
  <w:num w:numId="8" w16cid:durableId="553545512">
    <w:abstractNumId w:val="10"/>
  </w:num>
  <w:num w:numId="9" w16cid:durableId="188183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277758">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16cid:durableId="60716032">
    <w:abstractNumId w:val="6"/>
  </w:num>
  <w:num w:numId="12" w16cid:durableId="1448622360">
    <w:abstractNumId w:val="0"/>
  </w:num>
  <w:num w:numId="13" w16cid:durableId="82755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1227316">
    <w:abstractNumId w:val="3"/>
  </w:num>
  <w:num w:numId="15" w16cid:durableId="395590744">
    <w:abstractNumId w:val="5"/>
  </w:num>
  <w:num w:numId="16" w16cid:durableId="131756476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6.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Documents\Ejercicio%202023\5.%20Cuenta%20P&#250;blica%202022\Estados%20Financieros\Cuadros%20notas%20Cuenta%20P&#250;bl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Documents\Ejercicio%202023\5.%20Cuenta%20P&#250;blica%202022\Estados%20Financieros\Cuadros%20notas%20Cuenta%20P&#250;bl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Documents\Ejercicio%202023\5.%20Cuenta%20P&#250;blica%202022\Estados%20Financieros\Cuadros%20notas%20Cuenta%20P&#250;bl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R\Documents\Ejercicio%202023\5.%20Cuenta%20P&#250;blica%202022\Estados%20Financieros\Cuadros%20notas%20Cuenta%20P&#250;blic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C457-4507-BCA1-A50FAD33A08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457-4507-BCA1-A50FAD33A08D}"/>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C457-4507-BCA1-A50FAD33A08D}"/>
              </c:ext>
            </c:extLst>
          </c:dPt>
          <c:dLbls>
            <c:dLbl>
              <c:idx val="0"/>
              <c:layout>
                <c:manualLayout>
                  <c:x val="0.15296254205337734"/>
                  <c:y val="-4.308669046671712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57-4507-BCA1-A50FAD33A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Hoja4!$A$2:$A$4</c:f>
              <c:strCache>
                <c:ptCount val="3"/>
                <c:pt idx="0">
                  <c:v>INGRESOS DE GESTIÓN</c:v>
                </c:pt>
                <c:pt idx="1">
                  <c:v>PARTICIPACIONES, APORTACIONES, CONVENIOS, INCENTIVOS DERIVADOS DE LA COLABORACIÓN FISCAL, FONDOS DISTINTOS DE APORTACIONES, TRANSFERENCIAS, ASIGNACIONES, SUBSIDIOS Y SUBVENCIONES, Y PENSIONES Y JUBILACIONES</c:v>
                </c:pt>
                <c:pt idx="2">
                  <c:v>OTROS INGRESOS Y BENEFICIOS</c:v>
                </c:pt>
              </c:strCache>
            </c:strRef>
          </c:cat>
          <c:val>
            <c:numRef>
              <c:f>Hoja4!$B$2:$B$4</c:f>
              <c:numCache>
                <c:formatCode>#,##0</c:formatCode>
                <c:ptCount val="3"/>
                <c:pt idx="0">
                  <c:v>6931709622.0100002</c:v>
                </c:pt>
                <c:pt idx="1">
                  <c:v>82360837562.649994</c:v>
                </c:pt>
                <c:pt idx="2">
                  <c:v>29786447.789999999</c:v>
                </c:pt>
              </c:numCache>
            </c:numRef>
          </c:val>
          <c:extLst>
            <c:ext xmlns:c16="http://schemas.microsoft.com/office/drawing/2014/chart" uri="{C3380CC4-5D6E-409C-BE32-E72D297353CC}">
              <c16:uniqueId val="{00000006-C457-4507-BCA1-A50FAD33A08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2231846019247597E-2"/>
          <c:y val="0.62673228346456689"/>
          <c:w val="0.87553608923884518"/>
          <c:h val="0.3454899387576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plotArea>
      <c:layout/>
      <c:pieChart>
        <c:varyColors val="1"/>
        <c:ser>
          <c:idx val="0"/>
          <c:order val="0"/>
          <c:dPt>
            <c:idx val="0"/>
            <c:bubble3D val="0"/>
            <c:spPr>
              <a:gradFill>
                <a:gsLst>
                  <a:gs pos="100000">
                    <a:schemeClr val="accent5">
                      <a:shade val="47000"/>
                      <a:lumMod val="60000"/>
                      <a:lumOff val="40000"/>
                    </a:schemeClr>
                  </a:gs>
                  <a:gs pos="0">
                    <a:schemeClr val="accent5">
                      <a:shade val="47000"/>
                    </a:schemeClr>
                  </a:gs>
                </a:gsLst>
                <a:lin ang="5400000" scaled="0"/>
              </a:gradFill>
              <a:ln w="19050">
                <a:solidFill>
                  <a:schemeClr val="lt1"/>
                </a:solidFill>
              </a:ln>
              <a:effectLst/>
            </c:spPr>
            <c:extLst>
              <c:ext xmlns:c16="http://schemas.microsoft.com/office/drawing/2014/chart" uri="{C3380CC4-5D6E-409C-BE32-E72D297353CC}">
                <c16:uniqueId val="{00000001-28F3-485D-A068-9E1A2BBC590B}"/>
              </c:ext>
            </c:extLst>
          </c:dPt>
          <c:dPt>
            <c:idx val="1"/>
            <c:bubble3D val="0"/>
            <c:spPr>
              <a:gradFill>
                <a:gsLst>
                  <a:gs pos="100000">
                    <a:schemeClr val="accent5">
                      <a:shade val="65000"/>
                      <a:lumMod val="60000"/>
                      <a:lumOff val="40000"/>
                    </a:schemeClr>
                  </a:gs>
                  <a:gs pos="0">
                    <a:schemeClr val="accent5">
                      <a:shade val="65000"/>
                    </a:schemeClr>
                  </a:gs>
                </a:gsLst>
                <a:lin ang="5400000" scaled="0"/>
              </a:gradFill>
              <a:ln w="19050">
                <a:solidFill>
                  <a:schemeClr val="lt1"/>
                </a:solidFill>
              </a:ln>
              <a:effectLst/>
            </c:spPr>
            <c:extLst>
              <c:ext xmlns:c16="http://schemas.microsoft.com/office/drawing/2014/chart" uri="{C3380CC4-5D6E-409C-BE32-E72D297353CC}">
                <c16:uniqueId val="{00000003-28F3-485D-A068-9E1A2BBC590B}"/>
              </c:ext>
            </c:extLst>
          </c:dPt>
          <c:dPt>
            <c:idx val="2"/>
            <c:bubble3D val="0"/>
            <c:spPr>
              <a:gradFill>
                <a:gsLst>
                  <a:gs pos="100000">
                    <a:schemeClr val="accent5">
                      <a:shade val="82000"/>
                      <a:lumMod val="60000"/>
                      <a:lumOff val="40000"/>
                    </a:schemeClr>
                  </a:gs>
                  <a:gs pos="0">
                    <a:schemeClr val="accent5">
                      <a:shade val="82000"/>
                    </a:schemeClr>
                  </a:gs>
                </a:gsLst>
                <a:lin ang="5400000" scaled="0"/>
              </a:gradFill>
              <a:ln w="19050">
                <a:solidFill>
                  <a:schemeClr val="lt1"/>
                </a:solidFill>
              </a:ln>
              <a:effectLst/>
            </c:spPr>
            <c:extLst>
              <c:ext xmlns:c16="http://schemas.microsoft.com/office/drawing/2014/chart" uri="{C3380CC4-5D6E-409C-BE32-E72D297353CC}">
                <c16:uniqueId val="{00000005-28F3-485D-A068-9E1A2BBC590B}"/>
              </c:ext>
            </c:extLst>
          </c:dPt>
          <c:dPt>
            <c:idx val="3"/>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7-28F3-485D-A068-9E1A2BBC590B}"/>
              </c:ext>
            </c:extLst>
          </c:dPt>
          <c:dPt>
            <c:idx val="4"/>
            <c:bubble3D val="0"/>
            <c:spPr>
              <a:gradFill>
                <a:gsLst>
                  <a:gs pos="100000">
                    <a:schemeClr val="accent5">
                      <a:tint val="83000"/>
                      <a:lumMod val="60000"/>
                      <a:lumOff val="40000"/>
                    </a:schemeClr>
                  </a:gs>
                  <a:gs pos="0">
                    <a:schemeClr val="accent5">
                      <a:tint val="83000"/>
                    </a:schemeClr>
                  </a:gs>
                </a:gsLst>
                <a:lin ang="5400000" scaled="0"/>
              </a:gradFill>
              <a:ln w="19050">
                <a:solidFill>
                  <a:schemeClr val="lt1"/>
                </a:solidFill>
              </a:ln>
              <a:effectLst/>
            </c:spPr>
            <c:extLst>
              <c:ext xmlns:c16="http://schemas.microsoft.com/office/drawing/2014/chart" uri="{C3380CC4-5D6E-409C-BE32-E72D297353CC}">
                <c16:uniqueId val="{00000009-28F3-485D-A068-9E1A2BBC590B}"/>
              </c:ext>
            </c:extLst>
          </c:dPt>
          <c:dPt>
            <c:idx val="5"/>
            <c:bubble3D val="0"/>
            <c:spPr>
              <a:gradFill>
                <a:gsLst>
                  <a:gs pos="100000">
                    <a:schemeClr val="accent5">
                      <a:tint val="65000"/>
                      <a:lumMod val="60000"/>
                      <a:lumOff val="40000"/>
                    </a:schemeClr>
                  </a:gs>
                  <a:gs pos="0">
                    <a:schemeClr val="accent5">
                      <a:tint val="65000"/>
                    </a:schemeClr>
                  </a:gs>
                </a:gsLst>
                <a:lin ang="5400000" scaled="0"/>
              </a:gradFill>
              <a:ln w="19050">
                <a:solidFill>
                  <a:schemeClr val="lt1"/>
                </a:solidFill>
              </a:ln>
              <a:effectLst/>
            </c:spPr>
            <c:extLst>
              <c:ext xmlns:c16="http://schemas.microsoft.com/office/drawing/2014/chart" uri="{C3380CC4-5D6E-409C-BE32-E72D297353CC}">
                <c16:uniqueId val="{0000000B-28F3-485D-A068-9E1A2BBC590B}"/>
              </c:ext>
            </c:extLst>
          </c:dPt>
          <c:dPt>
            <c:idx val="6"/>
            <c:bubble3D val="0"/>
            <c:spPr>
              <a:gradFill>
                <a:gsLst>
                  <a:gs pos="100000">
                    <a:schemeClr val="accent5">
                      <a:tint val="48000"/>
                      <a:lumMod val="60000"/>
                      <a:lumOff val="40000"/>
                    </a:schemeClr>
                  </a:gs>
                  <a:gs pos="0">
                    <a:schemeClr val="accent5">
                      <a:tint val="48000"/>
                    </a:schemeClr>
                  </a:gs>
                </a:gsLst>
                <a:lin ang="5400000" scaled="0"/>
              </a:gradFill>
              <a:ln w="19050">
                <a:solidFill>
                  <a:schemeClr val="lt1"/>
                </a:solidFill>
              </a:ln>
              <a:effectLst/>
            </c:spPr>
            <c:extLst>
              <c:ext xmlns:c16="http://schemas.microsoft.com/office/drawing/2014/chart" uri="{C3380CC4-5D6E-409C-BE32-E72D297353CC}">
                <c16:uniqueId val="{0000000D-28F3-485D-A068-9E1A2BBC59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Hoja4!$A$47:$A$53</c:f>
              <c:strCache>
                <c:ptCount val="7"/>
                <c:pt idx="0">
                  <c:v>IMPUESTOS</c:v>
                </c:pt>
                <c:pt idx="1">
                  <c:v>CONTRIBUCIONES DE MEJORAS</c:v>
                </c:pt>
                <c:pt idx="2">
                  <c:v>DERECHOS</c:v>
                </c:pt>
                <c:pt idx="3">
                  <c:v>PRODUCTOS </c:v>
                </c:pt>
                <c:pt idx="4">
                  <c:v>APROVECHAMIENTOS</c:v>
                </c:pt>
                <c:pt idx="5">
                  <c:v>INGRESOS POR VENTA DE BIENES Y PRESTACION DE SERVICIOS</c:v>
                </c:pt>
                <c:pt idx="6">
                  <c:v>INGRESOS NO COMPRENDIDOS EN LAS FRACCIONES DE LA LEY DE INGRESOS CAUSADOS EN EJERCICIOS FISCALES ANTERIORES PENDIENTES DE LIQUIDACION O PAGO</c:v>
                </c:pt>
              </c:strCache>
            </c:strRef>
          </c:cat>
          <c:val>
            <c:numRef>
              <c:f>Hoja4!$B$47:$B$53</c:f>
              <c:numCache>
                <c:formatCode>#,##0</c:formatCode>
                <c:ptCount val="7"/>
                <c:pt idx="0">
                  <c:v>2717643062.8600001</c:v>
                </c:pt>
                <c:pt idx="1">
                  <c:v>197880791.34999999</c:v>
                </c:pt>
                <c:pt idx="2">
                  <c:v>3688892517.9699998</c:v>
                </c:pt>
                <c:pt idx="3">
                  <c:v>190949290.21000001</c:v>
                </c:pt>
                <c:pt idx="4">
                  <c:v>93875276.120000005</c:v>
                </c:pt>
                <c:pt idx="5">
                  <c:v>42341812.939999998</c:v>
                </c:pt>
                <c:pt idx="6">
                  <c:v>126871</c:v>
                </c:pt>
              </c:numCache>
            </c:numRef>
          </c:val>
          <c:extLst>
            <c:ext xmlns:c16="http://schemas.microsoft.com/office/drawing/2014/chart" uri="{C3380CC4-5D6E-409C-BE32-E72D297353CC}">
              <c16:uniqueId val="{0000000E-28F3-485D-A068-9E1A2BBC590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35-4020-BA6C-3971261AA02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235-4020-BA6C-3971261AA02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235-4020-BA6C-3971261AA02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235-4020-BA6C-3971261AA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Hoja4!$A$71:$A$74</c:f>
              <c:strCache>
                <c:ptCount val="4"/>
                <c:pt idx="0">
                  <c:v>PARTICIPACIONES</c:v>
                </c:pt>
                <c:pt idx="1">
                  <c:v>APORTACIONES</c:v>
                </c:pt>
                <c:pt idx="2">
                  <c:v>CONVENIOS</c:v>
                </c:pt>
                <c:pt idx="3">
                  <c:v>INCENTIVOS DERIVADOS DE LA COLABORACIÓN</c:v>
                </c:pt>
              </c:strCache>
            </c:strRef>
          </c:cat>
          <c:val>
            <c:numRef>
              <c:f>Hoja4!$B$71:$B$74</c:f>
              <c:numCache>
                <c:formatCode>#,##0</c:formatCode>
                <c:ptCount val="4"/>
                <c:pt idx="0">
                  <c:v>34183552090.290001</c:v>
                </c:pt>
                <c:pt idx="1">
                  <c:v>36352459953.879997</c:v>
                </c:pt>
                <c:pt idx="2">
                  <c:v>11253114802.389999</c:v>
                </c:pt>
                <c:pt idx="3">
                  <c:v>571710716.09000003</c:v>
                </c:pt>
              </c:numCache>
            </c:numRef>
          </c:val>
          <c:extLst>
            <c:ext xmlns:c16="http://schemas.microsoft.com/office/drawing/2014/chart" uri="{C3380CC4-5D6E-409C-BE32-E72D297353CC}">
              <c16:uniqueId val="{00000008-0235-4020-BA6C-3971261AA0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92F-4958-8871-341B973A0E0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92F-4958-8871-341B973A0E0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92F-4958-8871-341B973A0E0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92F-4958-8871-341B973A0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Hoja4!$A$109:$A$112</c:f>
              <c:strCache>
                <c:ptCount val="4"/>
                <c:pt idx="0">
                  <c:v>Gobierno</c:v>
                </c:pt>
                <c:pt idx="1">
                  <c:v>Desarrollo Social</c:v>
                </c:pt>
                <c:pt idx="2">
                  <c:v>Desarrollo Económico</c:v>
                </c:pt>
                <c:pt idx="3">
                  <c:v>Otras No Clasificadas en Funciones Anteriores</c:v>
                </c:pt>
              </c:strCache>
            </c:strRef>
          </c:cat>
          <c:val>
            <c:numRef>
              <c:f>Hoja4!$B$109:$B$112</c:f>
              <c:numCache>
                <c:formatCode>#,##0.00</c:formatCode>
                <c:ptCount val="4"/>
                <c:pt idx="0">
                  <c:v>16923577336.1</c:v>
                </c:pt>
                <c:pt idx="1">
                  <c:v>51857454132.440002</c:v>
                </c:pt>
                <c:pt idx="2">
                  <c:v>2253173517.5599999</c:v>
                </c:pt>
                <c:pt idx="3">
                  <c:v>17852696506.43</c:v>
                </c:pt>
              </c:numCache>
            </c:numRef>
          </c:val>
          <c:extLst>
            <c:ext xmlns:c16="http://schemas.microsoft.com/office/drawing/2014/chart" uri="{C3380CC4-5D6E-409C-BE32-E72D297353CC}">
              <c16:uniqueId val="{00000008-292F-4958-8871-341B973A0E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1E37-DD12-4B66-8DDA-1DFB63B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28</Pages>
  <Words>2049</Words>
  <Characters>11275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Maria de Jesus Rios</cp:lastModifiedBy>
  <cp:revision>9</cp:revision>
  <cp:lastPrinted>2023-04-21T19:35:00Z</cp:lastPrinted>
  <dcterms:created xsi:type="dcterms:W3CDTF">2023-04-25T21:51:00Z</dcterms:created>
  <dcterms:modified xsi:type="dcterms:W3CDTF">2023-04-28T22:16:00Z</dcterms:modified>
</cp:coreProperties>
</file>